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640C6F6C" w:rsidR="000830E3" w:rsidRDefault="00196865" w:rsidP="00196865">
      <w:pPr>
        <w:pStyle w:val="Pagedecouverture"/>
        <w:rPr>
          <w:noProof/>
        </w:rPr>
      </w:pPr>
      <w:bookmarkStart w:id="0" w:name="LW_BM_COVERPAGE"/>
      <w:r>
        <w:rPr>
          <w:noProof/>
        </w:rPr>
        <w:pict w14:anchorId="422271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482372B-9E58-45E1-9023-99C2E22562BF" style="width:455.25pt;height:548.25pt">
            <v:imagedata r:id="rId15" o:title=""/>
          </v:shape>
        </w:pict>
      </w:r>
    </w:p>
    <w:bookmarkEnd w:id="0"/>
    <w:p w14:paraId="2BAF3ADB" w14:textId="77777777" w:rsidR="000830E3" w:rsidRDefault="000830E3" w:rsidP="000830E3">
      <w:pPr>
        <w:rPr>
          <w:noProof/>
        </w:rPr>
        <w:sectPr w:rsidR="000830E3" w:rsidSect="00196865">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1AA2E86D" w14:textId="77777777" w:rsidR="000F51FC" w:rsidRPr="000F51FC" w:rsidRDefault="000F51FC" w:rsidP="000F51FC">
      <w:pPr>
        <w:pBdr>
          <w:top w:val="single" w:sz="4" w:space="1" w:color="auto"/>
          <w:left w:val="single" w:sz="4" w:space="4" w:color="auto"/>
          <w:bottom w:val="single" w:sz="4" w:space="17" w:color="auto"/>
          <w:right w:val="single" w:sz="4" w:space="4" w:color="auto"/>
        </w:pBdr>
        <w:rPr>
          <w:b/>
          <w:bCs/>
          <w:smallCaps/>
          <w:noProof/>
          <w:szCs w:val="24"/>
          <w:u w:val="single"/>
          <w:lang w:val="en-IE" w:eastAsia="en-GB"/>
        </w:rPr>
      </w:pPr>
      <w:bookmarkStart w:id="1" w:name="_GoBack"/>
      <w:bookmarkEnd w:id="1"/>
      <w:r w:rsidRPr="000F51FC">
        <w:rPr>
          <w:b/>
          <w:bCs/>
          <w:smallCaps/>
          <w:noProof/>
          <w:szCs w:val="24"/>
          <w:u w:val="single"/>
          <w:lang w:val="en-IE" w:eastAsia="en-GB"/>
        </w:rPr>
        <w:lastRenderedPageBreak/>
        <w:t>Abstract</w:t>
      </w:r>
    </w:p>
    <w:p w14:paraId="76BB641A" w14:textId="7BB80297" w:rsidR="000F51FC" w:rsidRPr="000F51FC" w:rsidRDefault="000F51FC" w:rsidP="000F51FC">
      <w:pPr>
        <w:pBdr>
          <w:top w:val="single" w:sz="4" w:space="1" w:color="auto"/>
          <w:left w:val="single" w:sz="4" w:space="4" w:color="auto"/>
          <w:bottom w:val="single" w:sz="4" w:space="17" w:color="auto"/>
          <w:right w:val="single" w:sz="4" w:space="4" w:color="auto"/>
        </w:pBdr>
        <w:rPr>
          <w:noProof/>
          <w:szCs w:val="24"/>
          <w:lang w:val="en-IE" w:eastAsia="en-GB"/>
        </w:rPr>
      </w:pPr>
      <w:r w:rsidRPr="000F51FC">
        <w:rPr>
          <w:noProof/>
          <w:szCs w:val="24"/>
          <w:lang w:val="en-IE" w:eastAsia="en-GB"/>
        </w:rPr>
        <w:t xml:space="preserve">In Czechia, the new two-instance disciplinary procedure for judges, prosecutors and bailiffs is reported to function well. As of 1 January 2026, establishing judges’ salaries reverted to a previous method, and debate is ongoing on the salaries of non-judicial staff. Amendments to the judicial map, aiming at reducing the number of district courts, are under preparation. Efforts to digitalise the justice system continued to face delays, particularly the rollout of the e-file system. Amendments to the </w:t>
      </w:r>
      <w:r w:rsidR="00C73720" w:rsidRPr="000F51FC">
        <w:rPr>
          <w:noProof/>
          <w:szCs w:val="24"/>
          <w:lang w:val="en-IE" w:eastAsia="en-GB"/>
        </w:rPr>
        <w:t>Code</w:t>
      </w:r>
      <w:r w:rsidR="00C73720">
        <w:rPr>
          <w:noProof/>
          <w:szCs w:val="24"/>
          <w:lang w:val="en-IE" w:eastAsia="en-GB"/>
        </w:rPr>
        <w:t xml:space="preserve"> of </w:t>
      </w:r>
      <w:r w:rsidRPr="000F51FC">
        <w:rPr>
          <w:noProof/>
          <w:szCs w:val="24"/>
          <w:lang w:val="en-IE" w:eastAsia="en-GB"/>
        </w:rPr>
        <w:t xml:space="preserve">Administrative </w:t>
      </w:r>
      <w:r w:rsidR="00C73720">
        <w:rPr>
          <w:noProof/>
          <w:szCs w:val="24"/>
          <w:lang w:val="en-IE" w:eastAsia="en-GB"/>
        </w:rPr>
        <w:t xml:space="preserve">Justice </w:t>
      </w:r>
      <w:r w:rsidRPr="000F51FC">
        <w:rPr>
          <w:noProof/>
          <w:szCs w:val="24"/>
          <w:lang w:val="en-IE" w:eastAsia="en-GB"/>
        </w:rPr>
        <w:t xml:space="preserve">aiming to improve efficiency of proceedings have given rise to discussion of their impact on procedural rights. The justice system continues to perform efficiently.  </w:t>
      </w:r>
    </w:p>
    <w:p w14:paraId="0DFC36BB" w14:textId="77777777" w:rsidR="000F51FC" w:rsidRPr="000F51FC" w:rsidRDefault="000F51FC" w:rsidP="000F51FC">
      <w:pPr>
        <w:pBdr>
          <w:top w:val="single" w:sz="4" w:space="1" w:color="auto"/>
          <w:left w:val="single" w:sz="4" w:space="4" w:color="auto"/>
          <w:bottom w:val="single" w:sz="4" w:space="17" w:color="auto"/>
          <w:right w:val="single" w:sz="4" w:space="4" w:color="auto"/>
        </w:pBdr>
        <w:rPr>
          <w:noProof/>
          <w:lang w:val="en-IE" w:eastAsia="en-GB"/>
        </w:rPr>
      </w:pPr>
      <w:r w:rsidRPr="000F51FC">
        <w:rPr>
          <w:noProof/>
          <w:szCs w:val="22"/>
          <w:lang w:val="en-IE" w:eastAsia="en-GB"/>
        </w:rPr>
        <w:t xml:space="preserve">The implementation of the 2023-2026 Anti-Corruption Strategy is being finalised as preparations for a future Strategy begin. The number of corruption investigations, prosecutions and convictions remains stable, with good cooperation between relevant institutions. While the average length of proceedings continues to be an issue, some further steps were taken to improve procedural aspects and investigations and prosecutions continue, including in high-level corruption cases. No steps were taken to reinitiate the revision of legislation on conflicts of interest, including as regards beneficial ownership. An Ethics Code for government members was adopted and technical work continues on assessing the rules on asset declarations and revolving doors. Implementation of the new legislation on lobbying is on track. The integrity framework for the Parliament was not taken further. New legislation on political party financing entered into force, while an expansion of the Supreme Audit Office’s powers is being considered. Whistleblower protection system continues to operate, but its effectiveness is questioned by stakeholders. Corruption risks in public procurement remain an important point of attention for the authorities. </w:t>
      </w:r>
      <w:r w:rsidRPr="000F51FC" w:rsidDel="00056781">
        <w:rPr>
          <w:noProof/>
          <w:szCs w:val="22"/>
          <w:lang w:val="en-IE" w:eastAsia="en-GB"/>
        </w:rPr>
        <w:t xml:space="preserve"> </w:t>
      </w:r>
    </w:p>
    <w:p w14:paraId="1FCC4C06" w14:textId="0FE7C0D1" w:rsidR="000F51FC" w:rsidRPr="000F51FC" w:rsidRDefault="000F51FC" w:rsidP="2CF1EABA">
      <w:pPr>
        <w:pBdr>
          <w:top w:val="single" w:sz="4" w:space="1" w:color="auto"/>
          <w:left w:val="single" w:sz="4" w:space="4" w:color="auto"/>
          <w:bottom w:val="single" w:sz="4" w:space="17" w:color="auto"/>
          <w:right w:val="single" w:sz="4" w:space="4" w:color="auto"/>
        </w:pBdr>
        <w:rPr>
          <w:noProof/>
          <w:lang w:val="en-IE" w:eastAsia="en-GB"/>
        </w:rPr>
      </w:pPr>
      <w:r w:rsidRPr="2CF1EABA">
        <w:rPr>
          <w:noProof/>
          <w:lang w:val="en-IE" w:eastAsia="en-GB"/>
        </w:rPr>
        <w:t xml:space="preserve">Draft legislation which would confer new powers on the media regulator and provide media companies with additional rights and responsibilities remains pending. </w:t>
      </w:r>
      <w:r w:rsidR="0D19E4C5" w:rsidRPr="2CF1EABA">
        <w:rPr>
          <w:noProof/>
          <w:lang w:val="en-IE" w:eastAsia="en-GB"/>
        </w:rPr>
        <w:t xml:space="preserve">A draft </w:t>
      </w:r>
      <w:r w:rsidR="3E146BAB" w:rsidRPr="2CF1EABA">
        <w:rPr>
          <w:noProof/>
          <w:lang w:val="en-IE" w:eastAsia="en-GB"/>
        </w:rPr>
        <w:t>law</w:t>
      </w:r>
      <w:r w:rsidR="0D19E4C5" w:rsidRPr="2CF1EABA">
        <w:rPr>
          <w:noProof/>
          <w:lang w:val="en-IE" w:eastAsia="en-GB"/>
        </w:rPr>
        <w:t xml:space="preserve"> </w:t>
      </w:r>
      <w:r w:rsidR="024C53B5" w:rsidRPr="2CF1EABA">
        <w:rPr>
          <w:noProof/>
          <w:lang w:val="en-IE" w:eastAsia="en-GB"/>
        </w:rPr>
        <w:t>presented by the g</w:t>
      </w:r>
      <w:r w:rsidRPr="2CF1EABA">
        <w:rPr>
          <w:noProof/>
          <w:lang w:val="en-IE" w:eastAsia="en-GB"/>
        </w:rPr>
        <w:t>overnment</w:t>
      </w:r>
      <w:r w:rsidR="2DB307A1" w:rsidRPr="2CF1EABA">
        <w:rPr>
          <w:noProof/>
          <w:lang w:val="en-IE" w:eastAsia="en-GB"/>
        </w:rPr>
        <w:t xml:space="preserve"> which aims to abolish licen</w:t>
      </w:r>
      <w:r w:rsidR="1B6D79CE" w:rsidRPr="2CF1EABA">
        <w:rPr>
          <w:noProof/>
          <w:lang w:val="en-IE" w:eastAsia="en-GB"/>
        </w:rPr>
        <w:t>s</w:t>
      </w:r>
      <w:r w:rsidR="2DB307A1" w:rsidRPr="2CF1EABA">
        <w:rPr>
          <w:noProof/>
          <w:lang w:val="en-IE" w:eastAsia="en-GB"/>
        </w:rPr>
        <w:t xml:space="preserve">e fees for </w:t>
      </w:r>
      <w:r w:rsidRPr="2CF1EABA">
        <w:rPr>
          <w:noProof/>
          <w:lang w:val="en-IE" w:eastAsia="en-GB"/>
        </w:rPr>
        <w:t>public service media ha</w:t>
      </w:r>
      <w:r w:rsidR="2DB307A1" w:rsidRPr="2CF1EABA">
        <w:rPr>
          <w:noProof/>
          <w:lang w:val="en-IE" w:eastAsia="en-GB"/>
        </w:rPr>
        <w:t>s</w:t>
      </w:r>
      <w:r w:rsidRPr="2CF1EABA">
        <w:rPr>
          <w:noProof/>
          <w:lang w:val="en-IE" w:eastAsia="en-GB"/>
        </w:rPr>
        <w:t xml:space="preserve"> raised concerns. No further steps have been taken on reforms relating to transparency of media ownership. Journalists continue to face serious verbal threats and harassment. </w:t>
      </w:r>
    </w:p>
    <w:p w14:paraId="7B8D3C78" w14:textId="77777777" w:rsidR="00A90295" w:rsidRPr="00A90295" w:rsidRDefault="000F51FC" w:rsidP="00A90295">
      <w:pPr>
        <w:pBdr>
          <w:top w:val="single" w:sz="4" w:space="1" w:color="auto"/>
          <w:left w:val="single" w:sz="4" w:space="4" w:color="auto"/>
          <w:bottom w:val="single" w:sz="4" w:space="17" w:color="auto"/>
          <w:right w:val="single" w:sz="4" w:space="4" w:color="auto"/>
        </w:pBdr>
        <w:rPr>
          <w:noProof/>
          <w:szCs w:val="24"/>
          <w:lang w:val="en-IE" w:eastAsia="en-GB"/>
        </w:rPr>
      </w:pPr>
      <w:r w:rsidRPr="000F51FC">
        <w:rPr>
          <w:noProof/>
          <w:szCs w:val="24"/>
          <w:lang w:val="en-IE" w:eastAsia="en-GB"/>
        </w:rPr>
        <w:t xml:space="preserve">The electronic platform for drafting, commenting on and promulgating legislation is progressively becoming operational. ‘Legislative riders’ and other ways of limiting public consultation continue to impact the quality of legislative process. Implementation of the amendments to the Ombudsman Act establishing a National Human Rights Institution is ongoing. While civic space remains favourable, civil society organisations reported funding cuts and a change in the narrative regarding their role. </w:t>
      </w:r>
    </w:p>
    <w:p w14:paraId="61D9BCEF" w14:textId="0E185AB1" w:rsidR="00A90295" w:rsidRPr="00A90295" w:rsidRDefault="00A90295" w:rsidP="00A90295">
      <w:pPr>
        <w:tabs>
          <w:tab w:val="left" w:pos="5421"/>
        </w:tabs>
        <w:rPr>
          <w:noProof/>
          <w:lang w:val="en-IE" w:eastAsia="en-GB"/>
        </w:rPr>
      </w:pPr>
    </w:p>
    <w:p w14:paraId="33717C25" w14:textId="025AFA7F" w:rsidR="00A90295" w:rsidRPr="00855ABF" w:rsidRDefault="00A90295" w:rsidP="00A90295">
      <w:pPr>
        <w:pageBreakBefore/>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2" w:name="_Hlk202256986"/>
      <w:r w:rsidRPr="00A90295">
        <w:rPr>
          <w:b/>
          <w:smallCaps/>
          <w:noProof/>
          <w:szCs w:val="24"/>
          <w:u w:val="single"/>
          <w:lang w:eastAsia="en-GB"/>
        </w:rPr>
        <w:lastRenderedPageBreak/>
        <w:t xml:space="preserve"> </w:t>
      </w:r>
      <w:r w:rsidRPr="00855ABF">
        <w:rPr>
          <w:b/>
          <w:smallCaps/>
          <w:noProof/>
          <w:szCs w:val="24"/>
          <w:u w:val="single"/>
          <w:lang w:eastAsia="en-GB"/>
        </w:rPr>
        <w:t>Recommendations</w:t>
      </w:r>
    </w:p>
    <w:p w14:paraId="06EE9751" w14:textId="77777777" w:rsidR="006B6DC6" w:rsidRPr="00D16464" w:rsidRDefault="006B6DC6" w:rsidP="006B6DC6">
      <w:pPr>
        <w:pBdr>
          <w:top w:val="single" w:sz="4" w:space="1" w:color="auto"/>
          <w:left w:val="single" w:sz="4" w:space="4" w:color="auto"/>
          <w:bottom w:val="single" w:sz="4" w:space="17" w:color="auto"/>
          <w:right w:val="single" w:sz="4" w:space="4" w:color="auto"/>
        </w:pBdr>
        <w:spacing w:after="0"/>
        <w:contextualSpacing/>
        <w:rPr>
          <w:noProof/>
          <w:szCs w:val="24"/>
          <w:lang w:val="en-IE" w:eastAsia="en-GB"/>
        </w:rPr>
      </w:pPr>
      <w:r>
        <w:rPr>
          <w:noProof/>
          <w:szCs w:val="24"/>
          <w:lang w:val="en-IE" w:eastAsia="en-GB"/>
        </w:rPr>
        <w:t>Overall, based on the recommendations in the 2025 Rule of Law Report, considering other developments that took place in the period of reference and in addition to recalling</w:t>
      </w:r>
      <w:r>
        <w:rPr>
          <w:noProof/>
          <w:szCs w:val="24"/>
          <w:lang w:val="en-IE"/>
        </w:rPr>
        <w:t xml:space="preserve"> the relevant commitments made under the Recovery and Resilience Plan, </w:t>
      </w:r>
      <w:r>
        <w:rPr>
          <w:noProof/>
          <w:szCs w:val="24"/>
          <w:lang w:val="en-IE" w:eastAsia="en-GB"/>
        </w:rPr>
        <w:t xml:space="preserve">the Commission concludes the following: </w:t>
      </w:r>
    </w:p>
    <w:p w14:paraId="0A2FA5C4" w14:textId="77777777" w:rsidR="006B6DC6" w:rsidRPr="00D16464" w:rsidRDefault="006B6DC6" w:rsidP="006B6DC6">
      <w:pPr>
        <w:pBdr>
          <w:top w:val="single" w:sz="4" w:space="1" w:color="auto"/>
          <w:left w:val="single" w:sz="4" w:space="4" w:color="auto"/>
          <w:bottom w:val="single" w:sz="4" w:space="17" w:color="auto"/>
          <w:right w:val="single" w:sz="4" w:space="4" w:color="auto"/>
        </w:pBdr>
        <w:spacing w:after="0"/>
        <w:contextualSpacing/>
        <w:rPr>
          <w:noProof/>
          <w:lang w:val="en-IE" w:eastAsia="en-GB"/>
        </w:rPr>
      </w:pPr>
    </w:p>
    <w:p w14:paraId="60F7118A" w14:textId="77777777" w:rsidR="006B6DC6" w:rsidRPr="00D16464" w:rsidRDefault="006B6DC6" w:rsidP="006B6DC6">
      <w:pPr>
        <w:numPr>
          <w:ilvl w:val="0"/>
          <w:numId w:val="26"/>
        </w:numPr>
        <w:pBdr>
          <w:top w:val="single" w:sz="4" w:space="1" w:color="auto"/>
          <w:left w:val="single" w:sz="4" w:space="4" w:color="auto"/>
          <w:bottom w:val="single" w:sz="4" w:space="17" w:color="auto"/>
          <w:right w:val="single" w:sz="4" w:space="4" w:color="auto"/>
        </w:pBdr>
        <w:spacing w:after="200"/>
        <w:contextualSpacing/>
        <w:rPr>
          <w:b/>
          <w:bCs/>
          <w:noProof/>
          <w:lang w:val="en-IE" w:eastAsia="en-GB"/>
        </w:rPr>
      </w:pPr>
      <w:r>
        <w:rPr>
          <w:noProof/>
          <w:lang w:val="en-IE" w:eastAsia="en-GB"/>
        </w:rPr>
        <w:t xml:space="preserve">As efforts to further digitalise the justice system continued to face delays, </w:t>
      </w:r>
      <w:r>
        <w:rPr>
          <w:rFonts w:eastAsia="Aptos" w:cs="Arial"/>
          <w:noProof/>
          <w:lang w:val="en-IE"/>
        </w:rPr>
        <w:t>it is recommended to Czechia to</w:t>
      </w:r>
      <w:r>
        <w:rPr>
          <w:noProof/>
          <w:lang w:val="en-IE" w:eastAsia="en-GB"/>
        </w:rPr>
        <w:t xml:space="preserve"> </w:t>
      </w:r>
      <w:r>
        <w:rPr>
          <w:i/>
          <w:noProof/>
          <w:lang w:val="en-IE" w:eastAsia="en-GB"/>
        </w:rPr>
        <w:t>advance the digitalisation of the justice system, in particular by putting into operation the electronic file system</w:t>
      </w:r>
      <w:r>
        <w:rPr>
          <w:noProof/>
          <w:lang w:val="en-IE" w:eastAsia="en-GB"/>
        </w:rPr>
        <w:t>.</w:t>
      </w:r>
    </w:p>
    <w:p w14:paraId="0168C3F6" w14:textId="77777777" w:rsidR="006B6DC6" w:rsidRPr="00D16464" w:rsidDel="002C1B19" w:rsidRDefault="006B6DC6" w:rsidP="006B6DC6">
      <w:pPr>
        <w:numPr>
          <w:ilvl w:val="0"/>
          <w:numId w:val="26"/>
        </w:numPr>
        <w:pBdr>
          <w:top w:val="single" w:sz="4" w:space="1" w:color="auto"/>
          <w:left w:val="single" w:sz="4" w:space="4" w:color="auto"/>
          <w:bottom w:val="single" w:sz="4" w:space="17" w:color="auto"/>
          <w:right w:val="single" w:sz="4" w:space="4" w:color="auto"/>
        </w:pBdr>
        <w:spacing w:after="0"/>
        <w:contextualSpacing/>
        <w:rPr>
          <w:rFonts w:eastAsia="Aptos" w:cs="Arial"/>
          <w:noProof/>
          <w:szCs w:val="24"/>
          <w:lang w:val="en-IE"/>
        </w:rPr>
      </w:pPr>
      <w:r>
        <w:rPr>
          <w:rFonts w:eastAsia="Aptos" w:cs="Arial"/>
          <w:noProof/>
          <w:szCs w:val="24"/>
          <w:lang w:val="en-IE"/>
        </w:rPr>
        <w:t>Some further progress has been made on taking further measures to reduce the length of proceedings and ensure independence of investigation and prosecution in high-level corruption cases as steps were taken to improve procedural aspects and investigations and prosecutions continue, including in high-level corruption cases. However, as the average length of such proceedings continues to be an issue, it is recommended to Czechia</w:t>
      </w:r>
      <w:r>
        <w:rPr>
          <w:rFonts w:eastAsia="Aptos" w:cs="Arial"/>
          <w:b/>
          <w:noProof/>
          <w:szCs w:val="24"/>
          <w:lang w:val="en-IE"/>
        </w:rPr>
        <w:t xml:space="preserve"> </w:t>
      </w:r>
      <w:r>
        <w:rPr>
          <w:rFonts w:eastAsia="Aptos" w:cs="Arial"/>
          <w:noProof/>
          <w:szCs w:val="24"/>
          <w:lang w:val="en-IE"/>
        </w:rPr>
        <w:t xml:space="preserve">to </w:t>
      </w:r>
      <w:r>
        <w:rPr>
          <w:rFonts w:eastAsia="Aptos" w:cs="Arial"/>
          <w:i/>
          <w:noProof/>
          <w:szCs w:val="24"/>
          <w:lang w:val="en-IE"/>
        </w:rPr>
        <w:t>take further measures to reduce the length of proceedings and ensure independence of investigation and prosecution in high-level corruption cases, including by reforming the criminal procedure</w:t>
      </w:r>
      <w:r>
        <w:rPr>
          <w:rFonts w:eastAsia="Aptos" w:cs="Arial"/>
          <w:noProof/>
          <w:szCs w:val="24"/>
          <w:lang w:val="en-IE"/>
        </w:rPr>
        <w:t>.</w:t>
      </w:r>
    </w:p>
    <w:p w14:paraId="2B326C44" w14:textId="77777777" w:rsidR="006B6DC6" w:rsidRPr="00D16464" w:rsidRDefault="006B6DC6" w:rsidP="006B6DC6">
      <w:pPr>
        <w:numPr>
          <w:ilvl w:val="0"/>
          <w:numId w:val="26"/>
        </w:num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lang w:val="en-IE" w:eastAsia="en-GB"/>
        </w:rPr>
        <w:t xml:space="preserve">No progress has been made on taking further measures to strengthen the integrity framework for all members of Parliament, as the integrity framework of Parliament was not taken further. </w:t>
      </w:r>
      <w:r>
        <w:rPr>
          <w:rFonts w:eastAsia="Aptos" w:cs="Arial"/>
          <w:noProof/>
          <w:lang w:val="en-IE"/>
        </w:rPr>
        <w:t>As gaps in the rules on revolving doors remain for most public officials, it is recommended to Czechia</w:t>
      </w:r>
      <w:r>
        <w:rPr>
          <w:rFonts w:eastAsia="Aptos" w:cs="Arial"/>
          <w:b/>
          <w:noProof/>
          <w:lang w:val="en-IE"/>
        </w:rPr>
        <w:t xml:space="preserve"> </w:t>
      </w:r>
      <w:r>
        <w:rPr>
          <w:rFonts w:eastAsia="Aptos" w:cs="Arial"/>
          <w:noProof/>
          <w:lang w:val="en-IE"/>
        </w:rPr>
        <w:t xml:space="preserve">to </w:t>
      </w:r>
      <w:r>
        <w:rPr>
          <w:rFonts w:eastAsia="Aptos" w:cs="Arial"/>
          <w:i/>
          <w:noProof/>
          <w:lang w:val="en-IE"/>
        </w:rPr>
        <w:t>take further measures to strengthen the integrity framework, in particular by complementing the existing rules as regards revolving doors</w:t>
      </w:r>
      <w:r>
        <w:rPr>
          <w:rFonts w:eastAsia="Aptos" w:cs="Arial"/>
          <w:noProof/>
          <w:lang w:val="en-IE"/>
        </w:rPr>
        <w:t>.</w:t>
      </w:r>
    </w:p>
    <w:p w14:paraId="48703383" w14:textId="77777777" w:rsidR="006B6DC6" w:rsidRPr="00D16464" w:rsidRDefault="006B6DC6" w:rsidP="006B6DC6">
      <w:pPr>
        <w:numPr>
          <w:ilvl w:val="0"/>
          <w:numId w:val="26"/>
        </w:numPr>
        <w:pBdr>
          <w:top w:val="single" w:sz="4" w:space="1" w:color="auto"/>
          <w:left w:val="single" w:sz="4" w:space="4" w:color="auto"/>
          <w:bottom w:val="single" w:sz="4" w:space="17" w:color="auto"/>
          <w:right w:val="single" w:sz="4" w:space="4" w:color="auto"/>
        </w:pBdr>
        <w:spacing w:after="0"/>
        <w:contextualSpacing/>
        <w:rPr>
          <w:b/>
          <w:bCs/>
          <w:noProof/>
          <w:lang w:val="en-IE" w:eastAsia="en-GB"/>
        </w:rPr>
      </w:pPr>
      <w:r>
        <w:rPr>
          <w:noProof/>
          <w:lang w:val="en-IE" w:eastAsia="en-GB"/>
        </w:rPr>
        <w:t xml:space="preserve">No progress has been made on reinitiating the revision of legislation on conflicts of interest, including as regards beneficial ownership as no steps were taken. Therefore, it is recommended to Czechia to </w:t>
      </w:r>
      <w:r>
        <w:rPr>
          <w:i/>
          <w:noProof/>
          <w:lang w:val="en-IE" w:eastAsia="en-GB"/>
        </w:rPr>
        <w:t>reinitiate the revision of legislation on conflicts of interest, including as regards beneficial ownership</w:t>
      </w:r>
      <w:r>
        <w:rPr>
          <w:noProof/>
          <w:lang w:val="en-IE" w:eastAsia="en-GB"/>
        </w:rPr>
        <w:t>.</w:t>
      </w:r>
    </w:p>
    <w:p w14:paraId="7CE68FD9" w14:textId="77777777" w:rsidR="001B511F" w:rsidRDefault="006B6DC6" w:rsidP="00AE5CFD">
      <w:pPr>
        <w:numPr>
          <w:ilvl w:val="0"/>
          <w:numId w:val="26"/>
        </w:numPr>
        <w:pBdr>
          <w:top w:val="single" w:sz="4" w:space="1" w:color="auto"/>
          <w:left w:val="single" w:sz="4" w:space="4" w:color="auto"/>
          <w:bottom w:val="single" w:sz="4" w:space="17" w:color="auto"/>
          <w:right w:val="single" w:sz="4" w:space="4" w:color="auto"/>
        </w:pBdr>
        <w:spacing w:after="0"/>
        <w:contextualSpacing/>
        <w:rPr>
          <w:rFonts w:eastAsia="Aptos" w:cs="Arial"/>
          <w:noProof/>
          <w:lang w:val="en-IE"/>
        </w:rPr>
      </w:pPr>
      <w:r>
        <w:rPr>
          <w:rFonts w:eastAsia="Aptos" w:cs="Arial"/>
          <w:noProof/>
          <w:lang w:val="en-IE"/>
        </w:rPr>
        <w:t xml:space="preserve">As the use of legislative procedures circumventing public and stakeholder engagement, inter-departmental review and impact assessment has become more frequent, it is recommended to Czechia to </w:t>
      </w:r>
      <w:r>
        <w:rPr>
          <w:rFonts w:eastAsia="Aptos" w:cs="Arial"/>
          <w:i/>
          <w:noProof/>
          <w:lang w:val="en-IE"/>
        </w:rPr>
        <w:t>take measures to improve transparency of the legislative process and meaningful consultation of stakeholders, including by addressing the frequent use of fast-track procedure and the practice of legislative riders</w:t>
      </w:r>
      <w:r>
        <w:rPr>
          <w:rFonts w:eastAsia="Aptos" w:cs="Arial"/>
          <w:noProof/>
          <w:lang w:val="en-IE"/>
        </w:rPr>
        <w:t>.</w:t>
      </w:r>
    </w:p>
    <w:p w14:paraId="5B221AF6" w14:textId="77777777" w:rsidR="001B511F" w:rsidRDefault="001B511F" w:rsidP="00AE5CFD">
      <w:pPr>
        <w:pBdr>
          <w:top w:val="single" w:sz="4" w:space="1" w:color="auto"/>
          <w:left w:val="single" w:sz="4" w:space="4" w:color="auto"/>
          <w:bottom w:val="single" w:sz="4" w:space="17" w:color="auto"/>
          <w:right w:val="single" w:sz="4" w:space="4" w:color="auto"/>
        </w:pBdr>
        <w:spacing w:after="0"/>
        <w:contextualSpacing/>
        <w:rPr>
          <w:rFonts w:eastAsia="Aptos" w:cs="Arial"/>
          <w:noProof/>
          <w:lang w:val="en-IE"/>
        </w:rPr>
      </w:pPr>
    </w:p>
    <w:p w14:paraId="04D92B25" w14:textId="77777777" w:rsidR="001B511F" w:rsidRDefault="001B511F" w:rsidP="001B511F">
      <w:p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lang w:val="en-IE" w:eastAsia="en-GB"/>
        </w:rPr>
        <w:t>As regards the other 2025 recommendations, the Commission concludes that:</w:t>
      </w:r>
    </w:p>
    <w:p w14:paraId="5AEE78EF" w14:textId="77777777" w:rsidR="001B511F" w:rsidRDefault="001B511F" w:rsidP="001B511F">
      <w:pPr>
        <w:pBdr>
          <w:top w:val="single" w:sz="4" w:space="1" w:color="auto"/>
          <w:left w:val="single" w:sz="4" w:space="4" w:color="auto"/>
          <w:bottom w:val="single" w:sz="4" w:space="17" w:color="auto"/>
          <w:right w:val="single" w:sz="4" w:space="4" w:color="auto"/>
        </w:pBdr>
        <w:spacing w:after="0"/>
        <w:contextualSpacing/>
        <w:rPr>
          <w:rFonts w:eastAsia="Aptos" w:cs="Arial"/>
          <w:noProof/>
          <w:lang w:val="en-IE"/>
        </w:rPr>
      </w:pPr>
    </w:p>
    <w:p w14:paraId="6EC8CE1D" w14:textId="57C35D7E" w:rsidR="00B47735" w:rsidRPr="001B511F" w:rsidRDefault="00B47735" w:rsidP="001B511F">
      <w:pPr>
        <w:numPr>
          <w:ilvl w:val="0"/>
          <w:numId w:val="26"/>
        </w:numPr>
        <w:pBdr>
          <w:top w:val="single" w:sz="4" w:space="1" w:color="auto"/>
          <w:left w:val="single" w:sz="4" w:space="4" w:color="auto"/>
          <w:bottom w:val="single" w:sz="4" w:space="17" w:color="auto"/>
          <w:right w:val="single" w:sz="4" w:space="4" w:color="auto"/>
        </w:pBdr>
        <w:spacing w:after="0"/>
        <w:contextualSpacing/>
        <w:rPr>
          <w:rFonts w:eastAsia="Aptos" w:cs="Arial"/>
          <w:noProof/>
          <w:lang w:val="en-IE"/>
        </w:rPr>
      </w:pPr>
      <w:r>
        <w:rPr>
          <w:noProof/>
          <w:szCs w:val="24"/>
          <w:lang w:val="en-IE" w:eastAsia="en-GB"/>
        </w:rPr>
        <w:t>No progress has been made on further reforms relating to transparency of information on media ownership given that draft legislation remains pending in parliament and no fully functional transparency register has been formally established.</w:t>
      </w:r>
      <w:r>
        <w:rPr>
          <w:noProof/>
          <w:lang w:val="en-US"/>
        </w:rPr>
        <w:t xml:space="preserve"> </w:t>
      </w:r>
      <w:r>
        <w:rPr>
          <w:noProof/>
          <w:szCs w:val="24"/>
          <w:lang w:val="en-US" w:eastAsia="en-GB"/>
        </w:rPr>
        <w:t>Given that the topics of this recommendation are covered by provisions of the European Media Freedom Act (EMFA), while the Rule of Law Report will continue to monitor significant developments and report on their impact, further follow-up will be ensured as part of the Commission’s support to Member States and enforcement of the EMFA.</w:t>
      </w:r>
    </w:p>
    <w:p w14:paraId="23B46D03" w14:textId="1D564ED4" w:rsidR="00786E5B" w:rsidRDefault="006B6DC6" w:rsidP="006B6DC6">
      <w:pPr>
        <w:spacing w:after="0"/>
        <w:jc w:val="left"/>
        <w:rPr>
          <w:noProof/>
          <w:lang w:val="en-IE" w:eastAsia="en-GB"/>
        </w:rPr>
      </w:pPr>
      <w:r>
        <w:rPr>
          <w:noProof/>
          <w:szCs w:val="24"/>
          <w:lang w:eastAsia="en-GB"/>
        </w:rPr>
        <w:t xml:space="preserve"> </w:t>
      </w:r>
      <w:r>
        <w:rPr>
          <w:noProof/>
          <w:lang w:val="en-IE" w:eastAsia="en-GB"/>
        </w:rPr>
        <w:br w:type="page"/>
      </w:r>
    </w:p>
    <w:bookmarkEnd w:id="2"/>
    <w:p w14:paraId="1BB059E8" w14:textId="77777777" w:rsidR="000F51FC" w:rsidRPr="000F51FC" w:rsidRDefault="000F51FC" w:rsidP="000F51FC">
      <w:pPr>
        <w:keepNext/>
        <w:numPr>
          <w:ilvl w:val="0"/>
          <w:numId w:val="30"/>
        </w:numPr>
        <w:spacing w:after="160" w:line="279" w:lineRule="auto"/>
        <w:jc w:val="left"/>
        <w:outlineLvl w:val="0"/>
        <w:rPr>
          <w:noProof/>
          <w:szCs w:val="24"/>
          <w:u w:val="single"/>
          <w:lang w:val="en-IE" w:eastAsia="fr-FR"/>
        </w:rPr>
      </w:pPr>
      <w:r w:rsidRPr="000F51FC">
        <w:rPr>
          <w:b/>
          <w:smallCaps/>
          <w:noProof/>
          <w:szCs w:val="24"/>
          <w:u w:val="single"/>
          <w:lang w:val="en-IE" w:eastAsia="fr-FR"/>
        </w:rPr>
        <w:t>Justice System</w:t>
      </w:r>
      <w:r w:rsidRPr="000F51FC">
        <w:rPr>
          <w:b/>
          <w:bCs/>
          <w:smallCaps/>
          <w:noProof/>
          <w:szCs w:val="24"/>
          <w:u w:val="single"/>
          <w:vertAlign w:val="superscript"/>
          <w:lang w:val="en-IE" w:eastAsia="fr-FR"/>
        </w:rPr>
        <w:footnoteReference w:id="1"/>
      </w:r>
      <w:r w:rsidRPr="000F51FC">
        <w:rPr>
          <w:b/>
          <w:bCs/>
          <w:smallCaps/>
          <w:noProof/>
          <w:u w:val="single"/>
          <w:lang w:val="en-IE" w:eastAsia="fr-FR"/>
        </w:rPr>
        <w:t xml:space="preserve"> </w:t>
      </w:r>
    </w:p>
    <w:p w14:paraId="5775EA47" w14:textId="77777777" w:rsidR="000F51FC" w:rsidRPr="000F51FC" w:rsidRDefault="000F51FC" w:rsidP="000F51FC">
      <w:pPr>
        <w:keepNext/>
        <w:outlineLvl w:val="1"/>
        <w:rPr>
          <w:b/>
          <w:noProof/>
          <w:szCs w:val="24"/>
          <w:lang w:val="en-IE" w:eastAsia="en-GB"/>
        </w:rPr>
      </w:pPr>
      <w:r w:rsidRPr="000F51FC">
        <w:rPr>
          <w:b/>
          <w:noProof/>
          <w:szCs w:val="24"/>
          <w:lang w:val="en-IE" w:eastAsia="en-GB"/>
        </w:rPr>
        <w:t xml:space="preserve">Independence </w:t>
      </w:r>
    </w:p>
    <w:p w14:paraId="61A98D31" w14:textId="77777777" w:rsidR="000F51FC" w:rsidRPr="000F51FC" w:rsidRDefault="000F51FC" w:rsidP="00122BCC">
      <w:pPr>
        <w:rPr>
          <w:rFonts w:eastAsia="Aptos"/>
          <w:noProof/>
          <w:kern w:val="2"/>
          <w:szCs w:val="24"/>
          <w:lang w:val="en-IE" w:eastAsia="en-US"/>
          <w14:ligatures w14:val="standardContextual"/>
        </w:rPr>
      </w:pPr>
      <w:r w:rsidRPr="000F51FC">
        <w:rPr>
          <w:rFonts w:eastAsia="Aptos"/>
          <w:b/>
          <w:bCs/>
          <w:noProof/>
          <w:kern w:val="2"/>
          <w:szCs w:val="24"/>
          <w:lang w:val="en-IE" w:eastAsia="en-US"/>
          <w14:ligatures w14:val="standardContextual"/>
        </w:rPr>
        <w:t xml:space="preserve">The level of perceived judicial independence in Czechia continues to be high among both the general public and companies. </w:t>
      </w:r>
      <w:r w:rsidRPr="000F51FC">
        <w:rPr>
          <w:rFonts w:eastAsia="Aptos"/>
          <w:noProof/>
          <w:kern w:val="2"/>
          <w:szCs w:val="24"/>
          <w:lang w:val="en-IE" w:eastAsia="en-US"/>
          <w14:ligatures w14:val="standardContextual"/>
        </w:rPr>
        <w:t>Overall, 70% of the general population and 60% of companies perceive the level of independence of courts and judges to be ‘fairly or very good’ in 2026</w:t>
      </w:r>
      <w:r w:rsidRPr="000F51FC">
        <w:rPr>
          <w:rFonts w:eastAsia="Aptos"/>
          <w:noProof/>
          <w:kern w:val="2"/>
          <w:szCs w:val="24"/>
          <w:vertAlign w:val="superscript"/>
          <w:lang w:val="en-IE" w:eastAsia="en-US"/>
          <w14:ligatures w14:val="standardContextual"/>
        </w:rPr>
        <w:footnoteReference w:id="2"/>
      </w:r>
      <w:r w:rsidRPr="000F51FC">
        <w:rPr>
          <w:rFonts w:eastAsia="Aptos"/>
          <w:noProof/>
          <w:kern w:val="2"/>
          <w:szCs w:val="24"/>
          <w:lang w:val="en-IE" w:eastAsia="en-US"/>
          <w14:ligatures w14:val="standardContextual"/>
        </w:rPr>
        <w:t>. The perceived judicial independence among the general public has increased in comparison with 2025 (64%) and has significantly increased in comparison with 2022 (57%). The perceived judicial independence among companies has slightly decreased in comparison with 2025 (63%) and has increased in comparison with 2022 (55%).  </w:t>
      </w:r>
    </w:p>
    <w:p w14:paraId="409A841E" w14:textId="77777777" w:rsidR="000F51FC" w:rsidRPr="000F51FC" w:rsidRDefault="000F51FC" w:rsidP="000F51FC">
      <w:pPr>
        <w:rPr>
          <w:b/>
          <w:noProof/>
          <w:lang w:val="en-IE" w:eastAsia="fr-FR"/>
        </w:rPr>
      </w:pPr>
      <w:r w:rsidRPr="000F51FC">
        <w:rPr>
          <w:b/>
          <w:bCs/>
          <w:noProof/>
          <w:lang w:val="en-IE" w:eastAsia="fr-FR"/>
        </w:rPr>
        <w:t xml:space="preserve">The new two-instance disciplinary procedure for judges, prosecutors and bailiffs is reported to function well. </w:t>
      </w:r>
      <w:r w:rsidRPr="000F51FC">
        <w:rPr>
          <w:noProof/>
          <w:lang w:val="en-IE" w:eastAsia="fr-FR"/>
        </w:rPr>
        <w:t>With the reform’s stated aim to enhance the principle of legality by introducing a second instance, and the efficiency of disciplinary proceedings for judges, prosecutors, and bailiffs</w:t>
      </w:r>
      <w:r w:rsidRPr="000F51FC">
        <w:rPr>
          <w:noProof/>
          <w:vertAlign w:val="superscript"/>
          <w:lang w:val="en-IE" w:eastAsia="fr-FR"/>
        </w:rPr>
        <w:footnoteReference w:id="3"/>
      </w:r>
      <w:r w:rsidRPr="000F51FC">
        <w:rPr>
          <w:noProof/>
          <w:lang w:val="en-IE" w:eastAsia="fr-FR"/>
        </w:rPr>
        <w:t>, High Courts are functioning as the first-instance disciplinary bodies, with appeals heard by the Supreme Court and the Supreme Administrative Court</w:t>
      </w:r>
      <w:r w:rsidRPr="000F51FC">
        <w:rPr>
          <w:noProof/>
          <w:vertAlign w:val="superscript"/>
          <w:lang w:val="en-IE" w:eastAsia="fr-FR"/>
        </w:rPr>
        <w:footnoteReference w:id="4"/>
      </w:r>
      <w:r w:rsidRPr="000F51FC">
        <w:rPr>
          <w:noProof/>
          <w:lang w:val="en-IE" w:eastAsia="fr-FR"/>
        </w:rPr>
        <w:t>. This reform applies to cases initiated after January 2025 and established a ‘unifying disciplinary panel’ at the Supreme Administrative Court for ensuring consistent case law</w:t>
      </w:r>
      <w:r w:rsidRPr="000F51FC">
        <w:rPr>
          <w:noProof/>
          <w:vertAlign w:val="superscript"/>
          <w:lang w:val="en-IE" w:eastAsia="fr-FR"/>
        </w:rPr>
        <w:footnoteReference w:id="5"/>
      </w:r>
      <w:r w:rsidRPr="000F51FC">
        <w:rPr>
          <w:noProof/>
          <w:lang w:val="en-IE" w:eastAsia="fr-FR"/>
        </w:rPr>
        <w:t>. Also, the deadline to file a disciplinary motion was extended from six to nine months</w:t>
      </w:r>
      <w:r w:rsidRPr="000F51FC">
        <w:rPr>
          <w:noProof/>
          <w:vertAlign w:val="superscript"/>
          <w:lang w:val="en-IE" w:eastAsia="fr-FR"/>
        </w:rPr>
        <w:footnoteReference w:id="6"/>
      </w:r>
      <w:r w:rsidRPr="000F51FC">
        <w:rPr>
          <w:noProof/>
          <w:lang w:val="en-IE" w:eastAsia="fr-FR"/>
        </w:rPr>
        <w:t>. The reform is part of the commitments under the Czech Recovery and Resilience Plan (RRP) and responds also to a GRECO recommendation</w:t>
      </w:r>
      <w:r w:rsidRPr="000F51FC">
        <w:rPr>
          <w:noProof/>
          <w:vertAlign w:val="superscript"/>
          <w:lang w:val="en-IE" w:eastAsia="fr-FR"/>
        </w:rPr>
        <w:footnoteReference w:id="7"/>
      </w:r>
      <w:r w:rsidRPr="000F51FC">
        <w:rPr>
          <w:noProof/>
          <w:lang w:val="en-IE" w:eastAsia="fr-FR"/>
        </w:rPr>
        <w:t>. Stakeholders’ views continue to be positive about the introduction of the second instance</w:t>
      </w:r>
      <w:r w:rsidRPr="000F51FC">
        <w:rPr>
          <w:noProof/>
          <w:vertAlign w:val="superscript"/>
          <w:lang w:val="en-IE" w:eastAsia="fr-FR"/>
        </w:rPr>
        <w:footnoteReference w:id="8"/>
      </w:r>
      <w:r w:rsidRPr="000F51FC">
        <w:rPr>
          <w:noProof/>
          <w:lang w:val="en-IE" w:eastAsia="fr-FR"/>
        </w:rPr>
        <w:t>, although they consider it is too early to evaluate the implementation of the reform. Since 1 January 2026, the limitation period after which the disciplinary liability of a judge or a public prosecutor ceases was extended from three to five years</w:t>
      </w:r>
      <w:r w:rsidRPr="000F51FC">
        <w:rPr>
          <w:noProof/>
          <w:vertAlign w:val="superscript"/>
          <w:lang w:val="en-IE" w:eastAsia="fr-FR"/>
        </w:rPr>
        <w:footnoteReference w:id="9"/>
      </w:r>
      <w:r w:rsidRPr="000F51FC">
        <w:rPr>
          <w:noProof/>
          <w:lang w:val="en-IE" w:eastAsia="fr-FR"/>
        </w:rPr>
        <w:t>. As regards the reform of the public prosecution service, the implementation is ongoing with progressive selection procedures for chief public prosecutors and is generally viewed positively by stakeholders</w:t>
      </w:r>
      <w:r w:rsidRPr="000F51FC">
        <w:rPr>
          <w:noProof/>
          <w:vertAlign w:val="superscript"/>
          <w:lang w:val="en-IE" w:eastAsia="fr-FR"/>
        </w:rPr>
        <w:footnoteReference w:id="10"/>
      </w:r>
      <w:r w:rsidRPr="000F51FC">
        <w:rPr>
          <w:noProof/>
          <w:lang w:val="en-IE" w:eastAsia="fr-FR"/>
        </w:rPr>
        <w:t>.</w:t>
      </w:r>
    </w:p>
    <w:p w14:paraId="02CB3B49" w14:textId="77777777" w:rsidR="000F51FC" w:rsidRPr="000F51FC" w:rsidRDefault="000F51FC" w:rsidP="000F51FC">
      <w:pPr>
        <w:rPr>
          <w:noProof/>
          <w:szCs w:val="22"/>
          <w:lang w:val="en-IE" w:eastAsia="fr-FR"/>
        </w:rPr>
      </w:pPr>
      <w:r w:rsidRPr="000F51FC">
        <w:rPr>
          <w:b/>
          <w:noProof/>
          <w:szCs w:val="22"/>
          <w:lang w:val="en-IE" w:eastAsia="fr-FR"/>
        </w:rPr>
        <w:t xml:space="preserve">Representatives of the judiciary reported an increasing number of public statements by politicians </w:t>
      </w:r>
      <w:r w:rsidRPr="000F51FC">
        <w:rPr>
          <w:b/>
          <w:bCs/>
          <w:noProof/>
          <w:szCs w:val="22"/>
          <w:lang w:val="en-US" w:eastAsia="fr-FR"/>
        </w:rPr>
        <w:t xml:space="preserve">concerning the status of the judiciary, including by </w:t>
      </w:r>
      <w:r w:rsidRPr="000F51FC" w:rsidDel="00E07398">
        <w:rPr>
          <w:b/>
          <w:noProof/>
          <w:szCs w:val="22"/>
          <w:lang w:val="en-IE" w:eastAsia="fr-FR"/>
        </w:rPr>
        <w:t xml:space="preserve">criticising </w:t>
      </w:r>
      <w:r w:rsidRPr="000F51FC">
        <w:rPr>
          <w:b/>
          <w:noProof/>
          <w:szCs w:val="22"/>
          <w:lang w:val="en-IE" w:eastAsia="fr-FR"/>
        </w:rPr>
        <w:t xml:space="preserve">individual </w:t>
      </w:r>
      <w:r w:rsidRPr="000F51FC" w:rsidDel="00E07398">
        <w:rPr>
          <w:b/>
          <w:noProof/>
          <w:szCs w:val="22"/>
          <w:lang w:val="en-IE" w:eastAsia="fr-FR"/>
        </w:rPr>
        <w:t>judges</w:t>
      </w:r>
      <w:r w:rsidRPr="000F51FC">
        <w:rPr>
          <w:b/>
          <w:noProof/>
          <w:szCs w:val="22"/>
          <w:lang w:val="en-IE" w:eastAsia="fr-FR"/>
        </w:rPr>
        <w:t xml:space="preserve"> and ongoing proceedings. </w:t>
      </w:r>
      <w:r w:rsidRPr="000F51FC">
        <w:rPr>
          <w:noProof/>
          <w:szCs w:val="22"/>
          <w:lang w:val="en-IE" w:eastAsia="fr-FR"/>
        </w:rPr>
        <w:t>Judicial stakeholders, including the Union of Judges and the Supreme Court, reported that such statements have become more frequent compared to previous years and expressed concerns that such statements risk undermining general trust in the justice system and may create a perception of political influence over the courts</w:t>
      </w:r>
      <w:r w:rsidRPr="000F51FC">
        <w:rPr>
          <w:noProof/>
          <w:szCs w:val="22"/>
          <w:vertAlign w:val="superscript"/>
          <w:lang w:val="en-IE" w:eastAsia="fr-FR"/>
        </w:rPr>
        <w:footnoteReference w:id="11"/>
      </w:r>
      <w:r w:rsidRPr="000F51FC">
        <w:rPr>
          <w:noProof/>
          <w:szCs w:val="22"/>
          <w:lang w:val="en-IE" w:eastAsia="fr-FR"/>
        </w:rPr>
        <w:t>. The statements concern the status of the judiciary vis-à-vis other powers in general, but also concrete ongoing judicial proceedings and the judges deciding on them</w:t>
      </w:r>
      <w:r w:rsidRPr="000F51FC">
        <w:rPr>
          <w:noProof/>
          <w:szCs w:val="22"/>
          <w:vertAlign w:val="superscript"/>
          <w:lang w:val="en-IE" w:eastAsia="fr-FR"/>
        </w:rPr>
        <w:footnoteReference w:id="12"/>
      </w:r>
      <w:r w:rsidRPr="000F51FC">
        <w:rPr>
          <w:noProof/>
          <w:szCs w:val="22"/>
          <w:lang w:val="en-IE" w:eastAsia="fr-FR"/>
        </w:rPr>
        <w:t xml:space="preserve">. </w:t>
      </w:r>
      <w:r w:rsidRPr="000F51FC">
        <w:rPr>
          <w:noProof/>
          <w:szCs w:val="22"/>
          <w:lang w:val="en-US" w:eastAsia="fr-FR"/>
        </w:rPr>
        <w:t>According to European standards, while criticising judicial decisions is a normal aspect of democratic discourse, the executive and legislative powers should avoid criticism that undermines the independence of or public confidence in the judiciary</w:t>
      </w:r>
      <w:r w:rsidRPr="000F51FC">
        <w:rPr>
          <w:noProof/>
          <w:szCs w:val="22"/>
          <w:vertAlign w:val="superscript"/>
          <w:lang w:val="en-IE" w:eastAsia="fr-FR"/>
        </w:rPr>
        <w:footnoteReference w:id="13"/>
      </w:r>
      <w:r w:rsidRPr="000F51FC">
        <w:rPr>
          <w:noProof/>
          <w:szCs w:val="22"/>
          <w:lang w:val="en-IE" w:eastAsia="fr-FR"/>
        </w:rPr>
        <w:t xml:space="preserve">. </w:t>
      </w:r>
    </w:p>
    <w:p w14:paraId="49ADFE77" w14:textId="77777777" w:rsidR="000F51FC" w:rsidRPr="000F51FC" w:rsidRDefault="000F51FC" w:rsidP="000F51FC">
      <w:pPr>
        <w:keepNext/>
        <w:outlineLvl w:val="1"/>
        <w:rPr>
          <w:b/>
          <w:noProof/>
          <w:szCs w:val="24"/>
          <w:lang w:val="en-IE" w:eastAsia="en-GB"/>
        </w:rPr>
      </w:pPr>
      <w:r w:rsidRPr="000F51FC">
        <w:rPr>
          <w:b/>
          <w:noProof/>
          <w:szCs w:val="24"/>
          <w:lang w:val="en-IE" w:eastAsia="en-GB"/>
        </w:rPr>
        <w:t xml:space="preserve">Quality </w:t>
      </w:r>
    </w:p>
    <w:p w14:paraId="3307F5BF" w14:textId="77777777" w:rsidR="000F51FC" w:rsidRPr="000F51FC" w:rsidRDefault="000F51FC" w:rsidP="000F51FC">
      <w:pPr>
        <w:rPr>
          <w:noProof/>
          <w:szCs w:val="24"/>
          <w:lang w:val="en-IE" w:eastAsia="fr-FR"/>
        </w:rPr>
      </w:pPr>
      <w:r w:rsidRPr="000F51FC">
        <w:rPr>
          <w:b/>
          <w:bCs/>
          <w:noProof/>
          <w:szCs w:val="24"/>
          <w:lang w:val="en-IE" w:eastAsia="fr-FR"/>
        </w:rPr>
        <w:t xml:space="preserve">As of 1 January 2026, establishing judges’ salaries reverted to a previous method, and debate is ongoing on the salaries of non-judicial staff. </w:t>
      </w:r>
      <w:r w:rsidRPr="000F51FC">
        <w:rPr>
          <w:noProof/>
          <w:szCs w:val="24"/>
          <w:lang w:val="en-IE" w:eastAsia="fr-FR"/>
        </w:rPr>
        <w:t>In response to a Constitutional Court ruling of May 2024, a law adopted in March 2025 reinstated, as of 1 January 2026, the prior method for calculating judicial salaries based on a multiplier</w:t>
      </w:r>
      <w:r w:rsidRPr="000F51FC">
        <w:rPr>
          <w:noProof/>
          <w:vertAlign w:val="superscript"/>
          <w:lang w:val="en-IE" w:eastAsia="fr-FR"/>
        </w:rPr>
        <w:footnoteReference w:id="14"/>
      </w:r>
      <w:r w:rsidRPr="000F51FC">
        <w:rPr>
          <w:noProof/>
          <w:szCs w:val="24"/>
          <w:lang w:val="en-IE" w:eastAsia="fr-FR"/>
        </w:rPr>
        <w:t>. However, for 2025, this law introduced a concrete nominal value for judicial salaries, which was also challenged before general courts and the Constitutional Court</w:t>
      </w:r>
      <w:r w:rsidRPr="000F51FC">
        <w:rPr>
          <w:noProof/>
          <w:vertAlign w:val="superscript"/>
          <w:lang w:val="en-IE" w:eastAsia="fr-FR"/>
        </w:rPr>
        <w:footnoteReference w:id="15"/>
      </w:r>
      <w:r w:rsidRPr="000F51FC">
        <w:rPr>
          <w:noProof/>
          <w:szCs w:val="24"/>
          <w:lang w:val="en-IE" w:eastAsia="fr-FR"/>
        </w:rPr>
        <w:t>. The Constitutional Court held in October 2025 that these provisions determining judicial salaries for 2025 were not in line with the Constitution, and the Government provided compensation to the affected judges</w:t>
      </w:r>
      <w:r w:rsidRPr="000F51FC">
        <w:rPr>
          <w:noProof/>
          <w:vertAlign w:val="superscript"/>
          <w:lang w:val="en-IE" w:eastAsia="fr-FR"/>
        </w:rPr>
        <w:footnoteReference w:id="16"/>
      </w:r>
      <w:r w:rsidRPr="000F51FC">
        <w:rPr>
          <w:noProof/>
          <w:szCs w:val="24"/>
          <w:lang w:val="en-IE" w:eastAsia="fr-FR"/>
        </w:rPr>
        <w:t>. Judicial stakeholders welcomed that the provisions applicable as of January 2026 are now in line with the original calculation method</w:t>
      </w:r>
      <w:r w:rsidRPr="000F51FC">
        <w:rPr>
          <w:noProof/>
          <w:vertAlign w:val="superscript"/>
          <w:lang w:val="en-IE" w:eastAsia="fr-FR"/>
        </w:rPr>
        <w:footnoteReference w:id="17"/>
      </w:r>
      <w:r w:rsidRPr="000F51FC">
        <w:rPr>
          <w:noProof/>
          <w:szCs w:val="24"/>
          <w:lang w:val="en-IE" w:eastAsia="fr-FR"/>
        </w:rPr>
        <w:t>.In 2025, the Ministry of Justice made some efforts to increase the budgetary resources for the salaries of support staff</w:t>
      </w:r>
      <w:r w:rsidRPr="000F51FC">
        <w:rPr>
          <w:noProof/>
          <w:vertAlign w:val="superscript"/>
          <w:lang w:val="en-IE" w:eastAsia="fr-FR"/>
        </w:rPr>
        <w:footnoteReference w:id="18"/>
      </w:r>
      <w:r w:rsidRPr="000F51FC">
        <w:rPr>
          <w:noProof/>
          <w:szCs w:val="24"/>
          <w:lang w:val="en-IE" w:eastAsia="fr-FR"/>
        </w:rPr>
        <w:t>. At the same time, salaries are reported as still not keeping pace with salaries in other public sector positions, which is considered to affect the recruitment and retention of qualified staff in the judiciary and prosecution services</w:t>
      </w:r>
      <w:r w:rsidRPr="000F51FC">
        <w:rPr>
          <w:noProof/>
          <w:vertAlign w:val="superscript"/>
          <w:lang w:val="en-IE" w:eastAsia="fr-FR"/>
        </w:rPr>
        <w:footnoteReference w:id="19"/>
      </w:r>
      <w:r w:rsidRPr="000F51FC">
        <w:rPr>
          <w:noProof/>
          <w:szCs w:val="24"/>
          <w:lang w:val="en-IE" w:eastAsia="fr-FR"/>
        </w:rPr>
        <w:t>.</w:t>
      </w:r>
    </w:p>
    <w:p w14:paraId="536B7B0D" w14:textId="77777777" w:rsidR="000F51FC" w:rsidRPr="000F51FC" w:rsidRDefault="000F51FC" w:rsidP="000F51FC">
      <w:pPr>
        <w:rPr>
          <w:noProof/>
          <w:lang w:val="en-IE" w:eastAsia="fr-FR"/>
        </w:rPr>
      </w:pPr>
      <w:r w:rsidRPr="000F51FC">
        <w:rPr>
          <w:b/>
          <w:bCs/>
          <w:noProof/>
          <w:lang w:val="en-IE" w:eastAsia="fr-FR"/>
        </w:rPr>
        <w:t xml:space="preserve">Amendments to the judicial map, aiming at reducing the number of district courts, are under preparation. </w:t>
      </w:r>
      <w:r w:rsidRPr="000F51FC">
        <w:rPr>
          <w:noProof/>
          <w:lang w:val="en-IE" w:eastAsia="fr-FR"/>
        </w:rPr>
        <w:t>The new Minister of Justice announced his plan to reform the judicial map by the end of 2027, which would include merging courts, with the stated aim of improving efficiency and the use of resources for the judiciary</w:t>
      </w:r>
      <w:r w:rsidRPr="000F51FC">
        <w:rPr>
          <w:noProof/>
          <w:vertAlign w:val="superscript"/>
          <w:lang w:val="en-IE" w:eastAsia="fr-FR"/>
        </w:rPr>
        <w:footnoteReference w:id="20"/>
      </w:r>
      <w:r w:rsidRPr="000F51FC">
        <w:rPr>
          <w:noProof/>
          <w:lang w:val="en-IE" w:eastAsia="fr-FR"/>
        </w:rPr>
        <w:t>. The reform would not lead to the termination of any judicial posts</w:t>
      </w:r>
      <w:r w:rsidRPr="000F51FC">
        <w:rPr>
          <w:noProof/>
          <w:vertAlign w:val="superscript"/>
          <w:lang w:val="en-IE" w:eastAsia="fr-FR"/>
        </w:rPr>
        <w:footnoteReference w:id="21"/>
      </w:r>
      <w:r w:rsidRPr="000F51FC">
        <w:rPr>
          <w:noProof/>
          <w:lang w:val="en-IE" w:eastAsia="fr-FR"/>
        </w:rPr>
        <w:t>. Stakeholders acknowledged that limited and rational mergers of small courts could be appropriate in specific cases and noted that more significant changes should be based on a proper analysis of staffing needs and court workloads</w:t>
      </w:r>
      <w:r w:rsidRPr="000F51FC">
        <w:rPr>
          <w:noProof/>
          <w:vertAlign w:val="superscript"/>
          <w:lang w:val="en-IE" w:eastAsia="fr-FR"/>
        </w:rPr>
        <w:footnoteReference w:id="22"/>
      </w:r>
      <w:r w:rsidRPr="000F51FC">
        <w:rPr>
          <w:noProof/>
          <w:lang w:val="en-IE" w:eastAsia="fr-FR"/>
        </w:rPr>
        <w:t>. In the course of 2026, the Government will analyse the data collected in a study on staffing needs and will discuss it with the courts</w:t>
      </w:r>
      <w:r w:rsidRPr="000F51FC">
        <w:rPr>
          <w:noProof/>
          <w:vertAlign w:val="superscript"/>
          <w:lang w:val="en-IE" w:eastAsia="fr-FR"/>
        </w:rPr>
        <w:t xml:space="preserve"> </w:t>
      </w:r>
      <w:r w:rsidRPr="000F51FC">
        <w:rPr>
          <w:noProof/>
          <w:vertAlign w:val="superscript"/>
          <w:lang w:val="en-IE" w:eastAsia="fr-FR"/>
        </w:rPr>
        <w:footnoteReference w:id="23"/>
      </w:r>
      <w:r w:rsidRPr="000F51FC">
        <w:rPr>
          <w:noProof/>
          <w:lang w:val="en-IE" w:eastAsia="fr-FR"/>
        </w:rPr>
        <w:t xml:space="preserve">. </w:t>
      </w:r>
    </w:p>
    <w:p w14:paraId="5D5C7351" w14:textId="77777777" w:rsidR="000F51FC" w:rsidRPr="000F51FC" w:rsidRDefault="000F51FC" w:rsidP="000F51FC">
      <w:pPr>
        <w:rPr>
          <w:noProof/>
          <w:szCs w:val="24"/>
          <w:lang w:val="en-IE" w:eastAsia="fr-FR"/>
        </w:rPr>
      </w:pPr>
      <w:r w:rsidRPr="000F51FC">
        <w:rPr>
          <w:b/>
          <w:bCs/>
          <w:noProof/>
          <w:szCs w:val="24"/>
          <w:lang w:val="en-IE" w:eastAsia="fr-FR"/>
        </w:rPr>
        <w:t xml:space="preserve">Efforts to digitalise the justice system continued to face delays, particularly the rollout of the </w:t>
      </w:r>
      <w:bookmarkStart w:id="3" w:name="_Hlk226729398"/>
      <w:r w:rsidRPr="000F51FC">
        <w:rPr>
          <w:b/>
          <w:bCs/>
          <w:noProof/>
          <w:szCs w:val="24"/>
          <w:lang w:val="en-IE" w:eastAsia="fr-FR"/>
        </w:rPr>
        <w:t>e-file</w:t>
      </w:r>
      <w:bookmarkEnd w:id="3"/>
      <w:r w:rsidRPr="000F51FC">
        <w:rPr>
          <w:b/>
          <w:bCs/>
          <w:noProof/>
          <w:szCs w:val="24"/>
          <w:lang w:val="en-IE" w:eastAsia="fr-FR"/>
        </w:rPr>
        <w:t xml:space="preserve"> system. </w:t>
      </w:r>
      <w:r w:rsidRPr="000F51FC">
        <w:rPr>
          <w:noProof/>
          <w:szCs w:val="24"/>
          <w:lang w:val="en-IE" w:eastAsia="fr-FR"/>
        </w:rPr>
        <w:t>Following initiatives under the Recovery and Resilience Plan</w:t>
      </w:r>
      <w:r w:rsidRPr="000F51FC">
        <w:rPr>
          <w:noProof/>
          <w:szCs w:val="24"/>
          <w:vertAlign w:val="superscript"/>
          <w:lang w:val="en-IE" w:eastAsia="fr-FR"/>
        </w:rPr>
        <w:footnoteReference w:id="24"/>
      </w:r>
      <w:r w:rsidRPr="000F51FC">
        <w:rPr>
          <w:noProof/>
          <w:szCs w:val="24"/>
          <w:lang w:val="en-IE" w:eastAsia="fr-FR"/>
        </w:rPr>
        <w:t>, the Ministry of Justice has taken steps to develop different digitalisation tools</w:t>
      </w:r>
      <w:r w:rsidRPr="000F51FC">
        <w:rPr>
          <w:noProof/>
          <w:szCs w:val="24"/>
          <w:vertAlign w:val="superscript"/>
          <w:lang w:val="en-IE" w:eastAsia="fr-FR"/>
        </w:rPr>
        <w:footnoteReference w:id="25"/>
      </w:r>
      <w:r w:rsidRPr="000F51FC">
        <w:rPr>
          <w:noProof/>
          <w:szCs w:val="24"/>
          <w:lang w:val="en-IE" w:eastAsia="fr-FR"/>
        </w:rPr>
        <w:t>. However, many of the projects have been delayed or postponed</w:t>
      </w:r>
      <w:r w:rsidRPr="000F51FC">
        <w:rPr>
          <w:noProof/>
          <w:szCs w:val="24"/>
          <w:vertAlign w:val="superscript"/>
          <w:lang w:val="en-IE" w:eastAsia="fr-FR"/>
        </w:rPr>
        <w:footnoteReference w:id="26"/>
      </w:r>
      <w:r w:rsidRPr="000F51FC">
        <w:rPr>
          <w:noProof/>
          <w:szCs w:val="24"/>
          <w:lang w:val="en-IE" w:eastAsia="fr-FR"/>
        </w:rPr>
        <w:t xml:space="preserve"> and other outstanding issues have not been tackled</w:t>
      </w:r>
      <w:r w:rsidRPr="000F51FC">
        <w:rPr>
          <w:noProof/>
          <w:szCs w:val="24"/>
          <w:vertAlign w:val="superscript"/>
          <w:lang w:val="en-IE" w:eastAsia="fr-FR"/>
        </w:rPr>
        <w:footnoteReference w:id="27"/>
      </w:r>
      <w:r w:rsidRPr="000F51FC">
        <w:rPr>
          <w:noProof/>
          <w:szCs w:val="24"/>
          <w:lang w:val="en-IE" w:eastAsia="fr-FR"/>
        </w:rPr>
        <w:t>. An e-file system to enable parties to a dispute to access relevant documents has been in deployment since 2008 and faces further delays. The deployment of the electronic system for the public prosecution and its operation also depend on the e-file system</w:t>
      </w:r>
      <w:r w:rsidRPr="000F51FC">
        <w:rPr>
          <w:noProof/>
          <w:szCs w:val="24"/>
          <w:vertAlign w:val="superscript"/>
          <w:lang w:val="en-IE" w:eastAsia="fr-FR"/>
        </w:rPr>
        <w:footnoteReference w:id="28"/>
      </w:r>
      <w:r w:rsidRPr="000F51FC">
        <w:rPr>
          <w:noProof/>
          <w:szCs w:val="24"/>
          <w:lang w:val="en-IE" w:eastAsia="fr-FR"/>
        </w:rPr>
        <w:t>. Stakeholders also pointed to the lack of interoperability between the existing digital systems specific for different courts</w:t>
      </w:r>
      <w:r w:rsidRPr="000F51FC">
        <w:rPr>
          <w:noProof/>
          <w:szCs w:val="24"/>
          <w:vertAlign w:val="superscript"/>
          <w:lang w:val="en-IE" w:eastAsia="fr-FR"/>
        </w:rPr>
        <w:footnoteReference w:id="29"/>
      </w:r>
      <w:r w:rsidRPr="000F51FC">
        <w:rPr>
          <w:noProof/>
          <w:szCs w:val="24"/>
          <w:lang w:val="en-IE" w:eastAsia="fr-FR"/>
        </w:rPr>
        <w:t xml:space="preserve"> and the often incomplete or inconsistent publication of judicial decisions, despite this being a legal obligation</w:t>
      </w:r>
      <w:r w:rsidRPr="000F51FC">
        <w:rPr>
          <w:noProof/>
          <w:szCs w:val="24"/>
          <w:vertAlign w:val="superscript"/>
          <w:lang w:val="en-IE" w:eastAsia="fr-FR"/>
        </w:rPr>
        <w:footnoteReference w:id="30"/>
      </w:r>
      <w:r w:rsidRPr="000F51FC">
        <w:rPr>
          <w:noProof/>
          <w:szCs w:val="24"/>
          <w:lang w:val="en-IE" w:eastAsia="fr-FR"/>
        </w:rPr>
        <w:t>. Stakeholders emphasised that the prevailing low level of digitalisation of the justice system is a significant challenge</w:t>
      </w:r>
      <w:r w:rsidRPr="000F51FC">
        <w:rPr>
          <w:noProof/>
          <w:szCs w:val="24"/>
          <w:vertAlign w:val="superscript"/>
          <w:lang w:val="en-IE" w:eastAsia="fr-FR"/>
        </w:rPr>
        <w:footnoteReference w:id="31"/>
      </w:r>
      <w:r w:rsidRPr="000F51FC">
        <w:rPr>
          <w:noProof/>
          <w:szCs w:val="24"/>
          <w:lang w:val="en-IE" w:eastAsia="fr-FR"/>
        </w:rPr>
        <w:t xml:space="preserve">, resulting in decreasing efficiency of the proceedings, with higher costs for citizens and the justice system, limited remote access and </w:t>
      </w:r>
      <w:r w:rsidRPr="000F51FC">
        <w:rPr>
          <w:rFonts w:eastAsia="Calibri"/>
          <w:noProof/>
          <w:szCs w:val="24"/>
          <w:lang w:val="en-IE" w:eastAsia="en-US"/>
        </w:rPr>
        <w:t>less transparency of judicial decisions</w:t>
      </w:r>
      <w:r w:rsidRPr="000F51FC">
        <w:rPr>
          <w:rFonts w:eastAsia="Calibri"/>
          <w:noProof/>
          <w:szCs w:val="24"/>
          <w:vertAlign w:val="superscript"/>
          <w:lang w:val="en-IE" w:eastAsia="en-US"/>
        </w:rPr>
        <w:footnoteReference w:id="32"/>
      </w:r>
      <w:r w:rsidRPr="000F51FC">
        <w:rPr>
          <w:rFonts w:eastAsia="Calibri"/>
          <w:noProof/>
          <w:szCs w:val="24"/>
          <w:lang w:val="en-IE" w:eastAsia="en-US"/>
        </w:rPr>
        <w:t xml:space="preserve">. </w:t>
      </w:r>
    </w:p>
    <w:p w14:paraId="3EC0E336" w14:textId="5EC1780B" w:rsidR="000F51FC" w:rsidRPr="000F51FC" w:rsidRDefault="000F51FC" w:rsidP="000F51FC">
      <w:pPr>
        <w:rPr>
          <w:rFonts w:eastAsia="Calibri"/>
          <w:noProof/>
          <w:lang w:val="en-IE" w:eastAsia="fr-FR"/>
        </w:rPr>
      </w:pPr>
      <w:r w:rsidRPr="000F51FC">
        <w:rPr>
          <w:b/>
          <w:bCs/>
          <w:noProof/>
          <w:lang w:val="en-IE" w:eastAsia="fr-FR"/>
        </w:rPr>
        <w:t>Amendments</w:t>
      </w:r>
      <w:r w:rsidRPr="000F51FC">
        <w:rPr>
          <w:rFonts w:eastAsia="Calibri"/>
          <w:b/>
          <w:bCs/>
          <w:noProof/>
          <w:lang w:val="en-IE" w:eastAsia="fr-FR"/>
        </w:rPr>
        <w:t xml:space="preserve"> to the</w:t>
      </w:r>
      <w:r w:rsidR="00C73720">
        <w:rPr>
          <w:rFonts w:eastAsia="Calibri"/>
          <w:b/>
          <w:bCs/>
          <w:noProof/>
          <w:lang w:val="en-IE" w:eastAsia="fr-FR"/>
        </w:rPr>
        <w:t xml:space="preserve"> Code of</w:t>
      </w:r>
      <w:r w:rsidRPr="000F51FC">
        <w:rPr>
          <w:rFonts w:eastAsia="Calibri"/>
          <w:b/>
          <w:bCs/>
          <w:noProof/>
          <w:lang w:val="en-IE" w:eastAsia="fr-FR"/>
        </w:rPr>
        <w:t xml:space="preserve"> Administrative </w:t>
      </w:r>
      <w:r w:rsidR="00C73720">
        <w:rPr>
          <w:rFonts w:eastAsia="Calibri"/>
          <w:b/>
          <w:bCs/>
          <w:noProof/>
          <w:lang w:val="en-IE" w:eastAsia="fr-FR"/>
        </w:rPr>
        <w:t xml:space="preserve">Justice </w:t>
      </w:r>
      <w:r w:rsidRPr="000F51FC">
        <w:rPr>
          <w:rFonts w:eastAsia="Calibri"/>
          <w:b/>
          <w:bCs/>
          <w:noProof/>
          <w:lang w:val="en-IE" w:eastAsia="fr-FR"/>
        </w:rPr>
        <w:t xml:space="preserve">aiming to improve efficiency of proceedings have given rise to discussion </w:t>
      </w:r>
      <w:r w:rsidRPr="000F51FC">
        <w:rPr>
          <w:rFonts w:eastAsia="Calibri"/>
          <w:b/>
          <w:noProof/>
          <w:lang w:val="en-IE" w:eastAsia="fr-FR"/>
        </w:rPr>
        <w:t xml:space="preserve">of </w:t>
      </w:r>
      <w:r w:rsidRPr="000F51FC">
        <w:rPr>
          <w:rFonts w:eastAsia="Calibri"/>
          <w:b/>
          <w:bCs/>
          <w:noProof/>
          <w:lang w:val="en-IE" w:eastAsia="fr-FR"/>
        </w:rPr>
        <w:t>their impact on procedural rights.</w:t>
      </w:r>
      <w:r w:rsidRPr="000F51FC">
        <w:rPr>
          <w:rFonts w:eastAsia="Calibri"/>
          <w:bCs/>
          <w:noProof/>
          <w:lang w:val="en-IE" w:eastAsia="fr-FR"/>
        </w:rPr>
        <w:t xml:space="preserve"> </w:t>
      </w:r>
      <w:r w:rsidRPr="000F51FC">
        <w:rPr>
          <w:rFonts w:eastAsia="Calibri"/>
          <w:noProof/>
          <w:lang w:val="en-IE" w:eastAsia="fr-FR"/>
        </w:rPr>
        <w:t xml:space="preserve">Through a reform adopted by Parliament in July 2025, several generally applicable provisions of the Code of Administrative </w:t>
      </w:r>
      <w:r w:rsidR="00C73720">
        <w:rPr>
          <w:rFonts w:eastAsia="Calibri"/>
          <w:noProof/>
          <w:lang w:val="en-IE" w:eastAsia="fr-FR"/>
        </w:rPr>
        <w:t>Justice</w:t>
      </w:r>
      <w:r w:rsidR="00C73720" w:rsidRPr="000F51FC">
        <w:rPr>
          <w:rFonts w:eastAsia="Calibri"/>
          <w:noProof/>
          <w:lang w:val="en-IE" w:eastAsia="fr-FR"/>
        </w:rPr>
        <w:t xml:space="preserve"> </w:t>
      </w:r>
      <w:r w:rsidRPr="000F51FC">
        <w:rPr>
          <w:rFonts w:eastAsia="Calibri"/>
          <w:noProof/>
          <w:lang w:val="en-IE" w:eastAsia="fr-FR"/>
        </w:rPr>
        <w:t>were amended</w:t>
      </w:r>
      <w:r w:rsidRPr="000F51FC">
        <w:rPr>
          <w:rFonts w:eastAsia="Calibri"/>
          <w:noProof/>
          <w:vertAlign w:val="superscript"/>
          <w:lang w:val="en-IE" w:eastAsia="fr-FR"/>
        </w:rPr>
        <w:footnoteReference w:id="33"/>
      </w:r>
      <w:r w:rsidRPr="000F51FC">
        <w:rPr>
          <w:rFonts w:eastAsia="Calibri"/>
          <w:noProof/>
          <w:lang w:val="en-IE" w:eastAsia="fr-FR"/>
        </w:rPr>
        <w:t xml:space="preserve"> to introduce the possibility to review a binding decision by an administrative authority and additional rights, such as the right for costs to be paid by the losing party. </w:t>
      </w:r>
      <w:r w:rsidRPr="000F51FC">
        <w:rPr>
          <w:rFonts w:eastAsia="Calibri"/>
          <w:noProof/>
          <w:lang w:val="en-US" w:eastAsia="fr-FR"/>
        </w:rPr>
        <w:t>The shortening of certain procedural deadlines and widening the standing of certain parties to the proceedings</w:t>
      </w:r>
      <w:r w:rsidRPr="000F51FC" w:rsidDel="00AF2E5C">
        <w:rPr>
          <w:rFonts w:eastAsia="Calibri"/>
          <w:noProof/>
          <w:lang w:val="en-US" w:eastAsia="fr-FR"/>
        </w:rPr>
        <w:t xml:space="preserve"> </w:t>
      </w:r>
      <w:r w:rsidRPr="000F51FC">
        <w:rPr>
          <w:rFonts w:eastAsia="Calibri"/>
          <w:noProof/>
          <w:lang w:val="en-US" w:eastAsia="fr-FR"/>
        </w:rPr>
        <w:t>aim at enhancing the efficiency and quality of the administrative procedure</w:t>
      </w:r>
      <w:r w:rsidRPr="000F51FC">
        <w:rPr>
          <w:rFonts w:eastAsia="Calibri"/>
          <w:noProof/>
          <w:vertAlign w:val="superscript"/>
          <w:lang w:val="en-US" w:eastAsia="fr-FR"/>
        </w:rPr>
        <w:footnoteReference w:id="34"/>
      </w:r>
      <w:r w:rsidRPr="000F51FC">
        <w:rPr>
          <w:rFonts w:eastAsia="Calibri"/>
          <w:noProof/>
          <w:lang w:val="en-US" w:eastAsia="fr-FR"/>
        </w:rPr>
        <w:t xml:space="preserve">. However, some </w:t>
      </w:r>
      <w:r w:rsidRPr="000F51FC">
        <w:rPr>
          <w:rFonts w:eastAsia="Calibri"/>
          <w:noProof/>
          <w:lang w:val="en-IE" w:eastAsia="fr-FR"/>
        </w:rPr>
        <w:t>stakeholders fear that these changes could discourage civil associations or citizens from taking part in the proceedings</w:t>
      </w:r>
      <w:r w:rsidRPr="000F51FC">
        <w:rPr>
          <w:rFonts w:eastAsia="Calibri"/>
          <w:noProof/>
          <w:vertAlign w:val="superscript"/>
          <w:lang w:val="en-IE" w:eastAsia="fr-FR"/>
        </w:rPr>
        <w:footnoteReference w:id="35"/>
      </w:r>
      <w:r w:rsidRPr="000F51FC">
        <w:rPr>
          <w:rFonts w:eastAsia="Calibri"/>
          <w:noProof/>
          <w:lang w:val="en-IE" w:eastAsia="fr-FR"/>
        </w:rPr>
        <w:t xml:space="preserve"> and may adversely affect some vulnerable groups</w:t>
      </w:r>
      <w:r w:rsidRPr="000F51FC">
        <w:rPr>
          <w:rFonts w:eastAsia="Calibri"/>
          <w:noProof/>
          <w:vertAlign w:val="superscript"/>
          <w:lang w:val="en-IE" w:eastAsia="fr-FR"/>
        </w:rPr>
        <w:footnoteReference w:id="36"/>
      </w:r>
      <w:r w:rsidRPr="000F51FC">
        <w:rPr>
          <w:rFonts w:eastAsia="Calibri"/>
          <w:noProof/>
          <w:lang w:val="en-IE" w:eastAsia="fr-FR"/>
        </w:rPr>
        <w:t xml:space="preserve">. Another set of draft amendments to the Code of Administrative </w:t>
      </w:r>
      <w:r w:rsidR="00407B93">
        <w:rPr>
          <w:rFonts w:eastAsia="Calibri"/>
          <w:noProof/>
          <w:lang w:val="en-IE" w:eastAsia="fr-FR"/>
        </w:rPr>
        <w:t xml:space="preserve">Justice </w:t>
      </w:r>
      <w:r w:rsidRPr="000F51FC">
        <w:rPr>
          <w:rFonts w:eastAsia="Calibri"/>
          <w:noProof/>
          <w:lang w:val="en-IE" w:eastAsia="fr-FR"/>
        </w:rPr>
        <w:t>was tabled by a parliamentary group in December 2025, limiting the participation of civil society and further changing the scope of judicial review</w:t>
      </w:r>
      <w:r w:rsidRPr="000F51FC">
        <w:rPr>
          <w:rFonts w:eastAsia="Calibri"/>
          <w:noProof/>
          <w:vertAlign w:val="superscript"/>
          <w:lang w:val="en-IE" w:eastAsia="fr-FR"/>
        </w:rPr>
        <w:footnoteReference w:id="37"/>
      </w:r>
      <w:r w:rsidRPr="000F51FC">
        <w:rPr>
          <w:rFonts w:eastAsia="Calibri"/>
          <w:noProof/>
          <w:lang w:val="en-IE" w:eastAsia="fr-FR"/>
        </w:rPr>
        <w:t>. The increase in court fees for administrative justice matters originally envisaged for adoption in 2025 has not been proposed in legislation so far</w:t>
      </w:r>
      <w:r w:rsidRPr="000F51FC">
        <w:rPr>
          <w:rFonts w:eastAsia="Calibri"/>
          <w:noProof/>
          <w:vertAlign w:val="superscript"/>
          <w:lang w:val="en-IE" w:eastAsia="fr-FR"/>
        </w:rPr>
        <w:footnoteReference w:id="38"/>
      </w:r>
      <w:r w:rsidRPr="000F51FC">
        <w:rPr>
          <w:rFonts w:eastAsia="Calibri"/>
          <w:noProof/>
          <w:lang w:val="en-IE" w:eastAsia="fr-FR"/>
        </w:rPr>
        <w:t>.</w:t>
      </w:r>
    </w:p>
    <w:p w14:paraId="08D960F8" w14:textId="77777777" w:rsidR="000F51FC" w:rsidRPr="000F51FC" w:rsidRDefault="000F51FC" w:rsidP="000F51FC">
      <w:pPr>
        <w:keepNext/>
        <w:outlineLvl w:val="1"/>
        <w:rPr>
          <w:b/>
          <w:noProof/>
          <w:szCs w:val="24"/>
          <w:lang w:val="en-IE" w:eastAsia="en-GB"/>
        </w:rPr>
      </w:pPr>
      <w:r w:rsidRPr="000F51FC">
        <w:rPr>
          <w:b/>
          <w:noProof/>
          <w:szCs w:val="24"/>
          <w:lang w:val="en-IE" w:eastAsia="en-GB"/>
        </w:rPr>
        <w:t>Efficiency</w:t>
      </w:r>
      <w:r w:rsidRPr="000F51FC">
        <w:rPr>
          <w:b/>
          <w:noProof/>
          <w:lang w:val="en-IE" w:eastAsia="fr-FR"/>
        </w:rPr>
        <w:t xml:space="preserve"> </w:t>
      </w:r>
    </w:p>
    <w:p w14:paraId="1669AF1C" w14:textId="77777777" w:rsidR="000F51FC" w:rsidRPr="000F51FC" w:rsidRDefault="000F51FC" w:rsidP="000F51FC">
      <w:pPr>
        <w:rPr>
          <w:noProof/>
          <w:szCs w:val="22"/>
          <w:lang w:val="en-IE" w:eastAsia="fr-FR"/>
        </w:rPr>
      </w:pPr>
      <w:r w:rsidRPr="000F51FC">
        <w:rPr>
          <w:b/>
          <w:noProof/>
          <w:szCs w:val="22"/>
          <w:lang w:val="en-IE" w:eastAsia="fr-FR"/>
        </w:rPr>
        <w:t xml:space="preserve">The justice system continues to perform efficiently. </w:t>
      </w:r>
      <w:r w:rsidRPr="000F51FC">
        <w:rPr>
          <w:noProof/>
          <w:szCs w:val="22"/>
          <w:lang w:val="en-IE" w:eastAsia="fr-FR"/>
        </w:rPr>
        <w:t>The disposition time in civil and commercial cases at first instance remained at 126 days in 2024, among the lowest in the EU</w:t>
      </w:r>
      <w:r w:rsidRPr="000F51FC">
        <w:rPr>
          <w:noProof/>
          <w:szCs w:val="22"/>
          <w:vertAlign w:val="superscript"/>
          <w:lang w:val="en-IE" w:eastAsia="fr-FR"/>
        </w:rPr>
        <w:footnoteReference w:id="39"/>
      </w:r>
      <w:r w:rsidRPr="000F51FC">
        <w:rPr>
          <w:noProof/>
          <w:szCs w:val="22"/>
          <w:lang w:val="en-IE" w:eastAsia="fr-FR"/>
        </w:rPr>
        <w:t>. While the clearance rate for administrative cases at first instance further decreased to 105% in 2024 (111% in 2023), the administrative courts kept resolving more cases than they received and the estimated time needed to resolve such cases continued to improve, decreasing to 202 days in 2024 (212 in 2023). The Ministry of Justice is intending to prepare the final analysis of the labour intensity of the courts in 2026, including the discussions on the results with the representatives of courts. In more narrow categories, the average length of proceedings regarding bribery at first instance courts in 2024 decreased to 380 days (541 in 2023) but remained among the longest in the EU</w:t>
      </w:r>
      <w:r w:rsidRPr="000F51FC">
        <w:rPr>
          <w:noProof/>
          <w:szCs w:val="22"/>
          <w:vertAlign w:val="superscript"/>
          <w:lang w:val="en-IE" w:eastAsia="fr-FR"/>
        </w:rPr>
        <w:footnoteReference w:id="40"/>
      </w:r>
      <w:r w:rsidRPr="000F51FC">
        <w:rPr>
          <w:noProof/>
          <w:szCs w:val="22"/>
          <w:lang w:val="en-IE" w:eastAsia="fr-FR"/>
        </w:rPr>
        <w:t xml:space="preserve">. </w:t>
      </w:r>
    </w:p>
    <w:p w14:paraId="6F6F94AB" w14:textId="77777777" w:rsidR="000F51FC" w:rsidRPr="000F51FC" w:rsidRDefault="000F51FC" w:rsidP="000F51FC">
      <w:pPr>
        <w:keepNext/>
        <w:numPr>
          <w:ilvl w:val="0"/>
          <w:numId w:val="30"/>
        </w:numPr>
        <w:spacing w:after="160" w:line="279" w:lineRule="auto"/>
        <w:jc w:val="left"/>
        <w:outlineLvl w:val="0"/>
        <w:rPr>
          <w:noProof/>
          <w:szCs w:val="24"/>
          <w:u w:val="single"/>
          <w:lang w:val="en-IE" w:eastAsia="fr-FR"/>
        </w:rPr>
      </w:pPr>
      <w:r w:rsidRPr="000F51FC">
        <w:rPr>
          <w:b/>
          <w:smallCaps/>
          <w:noProof/>
          <w:szCs w:val="24"/>
          <w:u w:val="single"/>
          <w:lang w:val="en-IE" w:eastAsia="fr-FR"/>
        </w:rPr>
        <w:t>Anti-Corruption Framework</w:t>
      </w:r>
      <w:r w:rsidRPr="000F51FC" w:rsidDel="00D67844">
        <w:rPr>
          <w:b/>
          <w:smallCaps/>
          <w:noProof/>
          <w:szCs w:val="24"/>
          <w:u w:val="single"/>
          <w:lang w:val="en-IE" w:eastAsia="fr-FR"/>
        </w:rPr>
        <w:t xml:space="preserve"> </w:t>
      </w:r>
    </w:p>
    <w:p w14:paraId="26A7599C" w14:textId="77777777" w:rsidR="000F51FC" w:rsidRPr="000F51FC" w:rsidRDefault="000F51FC" w:rsidP="000F51FC">
      <w:pPr>
        <w:rPr>
          <w:rFonts w:eastAsia="Calibri"/>
          <w:noProof/>
          <w:color w:val="000000"/>
          <w:szCs w:val="24"/>
          <w:highlight w:val="yellow"/>
          <w:lang w:val="en-US" w:eastAsia="en-GB"/>
        </w:rPr>
      </w:pPr>
      <w:bookmarkStart w:id="4" w:name="_Hlk194408003"/>
      <w:r w:rsidRPr="000F51FC" w:rsidDel="000D5F90">
        <w:rPr>
          <w:rFonts w:eastAsia="Calibri" w:cs="Arial"/>
          <w:b/>
          <w:noProof/>
          <w:color w:val="000000"/>
          <w:szCs w:val="24"/>
          <w:lang w:val="en-US" w:eastAsia="en-US"/>
        </w:rPr>
        <w:t xml:space="preserve">The </w:t>
      </w:r>
      <w:r w:rsidRPr="000F51FC">
        <w:rPr>
          <w:rFonts w:eastAsia="Calibri" w:cs="Arial"/>
          <w:b/>
          <w:noProof/>
          <w:color w:val="000000"/>
          <w:szCs w:val="24"/>
          <w:lang w:val="en-US" w:eastAsia="en-US"/>
        </w:rPr>
        <w:t>perception among experts, citizens and business executives is that the level of corruption in the public sector remains relatively high.</w:t>
      </w:r>
      <w:r w:rsidRPr="000F51FC">
        <w:rPr>
          <w:rFonts w:eastAsia="Calibri" w:cs="Arial"/>
          <w:noProof/>
          <w:color w:val="000000"/>
          <w:szCs w:val="24"/>
          <w:lang w:val="en-US" w:eastAsia="en-US"/>
        </w:rPr>
        <w:t xml:space="preserve"> </w:t>
      </w:r>
      <w:bookmarkEnd w:id="4"/>
      <w:r w:rsidRPr="000F51FC">
        <w:rPr>
          <w:rFonts w:eastAsia="Calibri" w:cs="Arial"/>
          <w:noProof/>
          <w:color w:val="000000"/>
          <w:szCs w:val="24"/>
          <w:lang w:val="en-US" w:eastAsia="en-US"/>
        </w:rPr>
        <w:t>In the 2025 Corruption Perceptions Index by Transparency International, Czechia scores 59/100 and ranks 14</w:t>
      </w:r>
      <w:r w:rsidRPr="000F51FC">
        <w:rPr>
          <w:rFonts w:eastAsia="Calibri" w:cs="Arial"/>
          <w:noProof/>
          <w:color w:val="000000"/>
          <w:szCs w:val="24"/>
          <w:vertAlign w:val="superscript"/>
          <w:lang w:val="en-US" w:eastAsia="en-US"/>
        </w:rPr>
        <w:t>th</w:t>
      </w:r>
      <w:r w:rsidRPr="000F51FC">
        <w:rPr>
          <w:rFonts w:eastAsia="Calibri" w:cs="Arial"/>
          <w:noProof/>
          <w:color w:val="000000"/>
          <w:szCs w:val="24"/>
          <w:lang w:val="en-US" w:eastAsia="en-US"/>
        </w:rPr>
        <w:t xml:space="preserve"> in the European Union and 39</w:t>
      </w:r>
      <w:r w:rsidRPr="000F51FC">
        <w:rPr>
          <w:rFonts w:eastAsia="Calibri" w:cs="Arial"/>
          <w:noProof/>
          <w:color w:val="000000"/>
          <w:szCs w:val="24"/>
          <w:vertAlign w:val="superscript"/>
          <w:lang w:val="en-US" w:eastAsia="en-US"/>
        </w:rPr>
        <w:t>th</w:t>
      </w:r>
      <w:r w:rsidRPr="000F51FC">
        <w:rPr>
          <w:rFonts w:eastAsia="Calibri" w:cs="Arial"/>
          <w:noProof/>
          <w:color w:val="000000"/>
          <w:szCs w:val="24"/>
          <w:lang w:val="en-US" w:eastAsia="en-US"/>
        </w:rPr>
        <w:t xml:space="preserve"> globally</w:t>
      </w:r>
      <w:r w:rsidRPr="000F51FC">
        <w:rPr>
          <w:rFonts w:eastAsia="Calibri" w:cs="Arial"/>
          <w:noProof/>
          <w:color w:val="000000"/>
          <w:szCs w:val="24"/>
          <w:vertAlign w:val="superscript"/>
          <w:lang w:val="en-US" w:eastAsia="en-US"/>
        </w:rPr>
        <w:footnoteReference w:id="41"/>
      </w:r>
      <w:r w:rsidRPr="000F51FC">
        <w:rPr>
          <w:rFonts w:eastAsia="Calibri" w:cs="Arial"/>
          <w:noProof/>
          <w:color w:val="000000"/>
          <w:szCs w:val="24"/>
          <w:lang w:val="en-US" w:eastAsia="en-US"/>
        </w:rPr>
        <w:t>. This perception has improved over the past five years</w:t>
      </w:r>
      <w:r w:rsidRPr="000F51FC">
        <w:rPr>
          <w:rFonts w:eastAsia="Calibri" w:cs="Arial"/>
          <w:noProof/>
          <w:color w:val="000000"/>
          <w:szCs w:val="24"/>
          <w:vertAlign w:val="superscript"/>
          <w:lang w:val="en-US" w:eastAsia="en-US"/>
        </w:rPr>
        <w:footnoteReference w:id="42"/>
      </w:r>
      <w:r w:rsidRPr="000F51FC">
        <w:rPr>
          <w:rFonts w:eastAsia="Calibri" w:cs="Arial"/>
          <w:noProof/>
          <w:color w:val="000000"/>
          <w:szCs w:val="24"/>
          <w:lang w:val="en-US" w:eastAsia="en-US"/>
        </w:rPr>
        <w:t xml:space="preserve">. </w:t>
      </w:r>
      <w:r w:rsidRPr="000F51FC">
        <w:rPr>
          <w:rFonts w:eastAsia="Calibri"/>
          <w:noProof/>
          <w:color w:val="000000"/>
          <w:szCs w:val="24"/>
          <w:lang w:val="en-US" w:eastAsia="en-GB"/>
        </w:rPr>
        <w:t>The 2026 Special Eurobarometer on Corruption shows that 79% of respondents consider corruption widespread in their country (EU average 71%) and 24% of respondents feel personally affected by corruption in their daily lives (EU average 30%). As regards businesses, 75% of companies consider that corruption is widespread (EU average 65%) and 45% consider that corruption is a problem when doing business (EU average 37%). Furthermore, 35% of respondents</w:t>
      </w:r>
      <w:r w:rsidRPr="000F51FC">
        <w:rPr>
          <w:rFonts w:eastAsia="Calibri"/>
          <w:b/>
          <w:noProof/>
          <w:color w:val="000000"/>
          <w:szCs w:val="24"/>
          <w:lang w:val="en-US" w:eastAsia="en-GB"/>
        </w:rPr>
        <w:t xml:space="preserve"> </w:t>
      </w:r>
      <w:r w:rsidRPr="000F51FC">
        <w:rPr>
          <w:rFonts w:eastAsia="Calibri"/>
          <w:noProof/>
          <w:color w:val="000000"/>
          <w:szCs w:val="24"/>
          <w:lang w:val="en-US" w:eastAsia="en-GB"/>
        </w:rPr>
        <w:t>find that there are enough successful prosecutions to deter people from corrupt practices (EU average 38%), while 16% of companies believe that people and businesses caught for bribing a senior official are appropriately punished (EU average 31%)</w:t>
      </w:r>
      <w:r w:rsidRPr="000F51FC">
        <w:rPr>
          <w:rFonts w:eastAsia="Calibri"/>
          <w:noProof/>
          <w:color w:val="000000"/>
          <w:szCs w:val="24"/>
          <w:vertAlign w:val="superscript"/>
          <w:lang w:val="en-US" w:eastAsia="en-GB"/>
        </w:rPr>
        <w:footnoteReference w:id="43"/>
      </w:r>
      <w:r w:rsidRPr="000F51FC">
        <w:rPr>
          <w:rFonts w:eastAsia="Calibri"/>
          <w:noProof/>
          <w:color w:val="000000"/>
          <w:szCs w:val="24"/>
          <w:lang w:val="en-US" w:eastAsia="en-GB"/>
        </w:rPr>
        <w:t xml:space="preserve">. </w:t>
      </w:r>
    </w:p>
    <w:p w14:paraId="7D258850" w14:textId="7E9F1A90" w:rsidR="000F51FC" w:rsidRPr="000F51FC" w:rsidRDefault="000F51FC" w:rsidP="000F51FC">
      <w:pPr>
        <w:rPr>
          <w:rFonts w:eastAsia="Calibri" w:cs="Arial"/>
          <w:noProof/>
          <w:color w:val="000000"/>
          <w:szCs w:val="22"/>
          <w:lang w:val="en-IE" w:eastAsia="en-US"/>
        </w:rPr>
      </w:pPr>
      <w:bookmarkStart w:id="5" w:name="_Hlk194408016"/>
      <w:bookmarkStart w:id="6" w:name="_Hlk224634041"/>
      <w:r w:rsidRPr="000F51FC">
        <w:rPr>
          <w:rFonts w:eastAsia="Calibri" w:cs="Arial"/>
          <w:b/>
          <w:noProof/>
          <w:color w:val="000000"/>
          <w:szCs w:val="22"/>
          <w:lang w:val="en-IE" w:eastAsia="en-US"/>
        </w:rPr>
        <w:t xml:space="preserve">The implementation of the 2023-2026 Anti-Corruption Strategy </w:t>
      </w:r>
      <w:bookmarkEnd w:id="5"/>
      <w:r w:rsidRPr="000F51FC">
        <w:rPr>
          <w:rFonts w:eastAsia="Calibri" w:cs="Arial"/>
          <w:b/>
          <w:noProof/>
          <w:color w:val="000000"/>
          <w:szCs w:val="22"/>
          <w:lang w:val="en-IE" w:eastAsia="en-US"/>
        </w:rPr>
        <w:t>is being finalised as preparations for a future Strategy begin</w:t>
      </w:r>
      <w:bookmarkEnd w:id="6"/>
      <w:r w:rsidRPr="000F51FC">
        <w:rPr>
          <w:rFonts w:eastAsia="Calibri" w:cs="Arial"/>
          <w:b/>
          <w:bCs/>
          <w:noProof/>
          <w:color w:val="000000"/>
          <w:szCs w:val="22"/>
          <w:lang w:val="en-IE" w:eastAsia="en-US"/>
        </w:rPr>
        <w:t>.</w:t>
      </w:r>
      <w:r w:rsidRPr="000F51FC">
        <w:rPr>
          <w:rFonts w:eastAsia="Calibri" w:cs="Arial"/>
          <w:noProof/>
          <w:color w:val="000000"/>
          <w:szCs w:val="22"/>
          <w:lang w:val="en-IE" w:eastAsia="en-US"/>
        </w:rPr>
        <w:t xml:space="preserve"> The action plan covering 2025-2026 is being implemented and an evaluation shows that, with some important exceptions, the fulfilment of most tasks is on track</w:t>
      </w:r>
      <w:r w:rsidRPr="000F51FC">
        <w:rPr>
          <w:rFonts w:eastAsia="Calibri" w:cs="Arial"/>
          <w:noProof/>
          <w:color w:val="000000"/>
          <w:szCs w:val="22"/>
          <w:vertAlign w:val="superscript"/>
          <w:lang w:val="en-IE" w:eastAsia="en-US"/>
        </w:rPr>
        <w:footnoteReference w:id="44"/>
      </w:r>
      <w:r w:rsidRPr="000F51FC">
        <w:rPr>
          <w:rFonts w:eastAsia="Calibri" w:cs="Arial"/>
          <w:noProof/>
          <w:color w:val="000000"/>
          <w:szCs w:val="22"/>
          <w:lang w:val="en-IE" w:eastAsia="en-US"/>
        </w:rPr>
        <w:t>.</w:t>
      </w:r>
      <w:r w:rsidRPr="000F51FC">
        <w:rPr>
          <w:rFonts w:eastAsia="Calibri"/>
          <w:noProof/>
          <w:color w:val="000000"/>
          <w:szCs w:val="22"/>
          <w:lang w:val="en-IE" w:eastAsia="en-US"/>
        </w:rPr>
        <w:t xml:space="preserve"> Preparations for a new Strategy starting in 2027 have begun</w:t>
      </w:r>
      <w:r w:rsidRPr="000F51FC">
        <w:rPr>
          <w:rFonts w:eastAsia="Calibri"/>
          <w:noProof/>
          <w:color w:val="000000"/>
          <w:szCs w:val="22"/>
          <w:vertAlign w:val="superscript"/>
          <w:lang w:val="en-IE" w:eastAsia="en-US"/>
        </w:rPr>
        <w:footnoteReference w:id="45"/>
      </w:r>
      <w:r w:rsidRPr="000F51FC">
        <w:rPr>
          <w:rFonts w:eastAsia="Calibri"/>
          <w:noProof/>
          <w:color w:val="000000"/>
          <w:szCs w:val="22"/>
          <w:lang w:val="en-IE" w:eastAsia="en-US"/>
        </w:rPr>
        <w:t>.</w:t>
      </w:r>
      <w:r w:rsidRPr="000F51FC">
        <w:rPr>
          <w:rFonts w:eastAsia="Calibri" w:cs="Arial"/>
          <w:noProof/>
          <w:color w:val="000000"/>
          <w:szCs w:val="22"/>
          <w:lang w:val="en-IE" w:eastAsia="en-US"/>
        </w:rPr>
        <w:t xml:space="preserve"> Some civil society stakeholders called for a more comprehensive and longer-term Anti-Corruption Strategy, deeming the current one insufficient to improve the overall anti-corruption framework</w:t>
      </w:r>
      <w:r w:rsidRPr="000F51FC">
        <w:rPr>
          <w:rFonts w:eastAsia="Calibri" w:cs="Arial"/>
          <w:noProof/>
          <w:color w:val="000000"/>
          <w:szCs w:val="22"/>
          <w:vertAlign w:val="superscript"/>
          <w:lang w:val="en-IE" w:eastAsia="en-US"/>
        </w:rPr>
        <w:footnoteReference w:id="46"/>
      </w:r>
      <w:r w:rsidRPr="000F51FC">
        <w:rPr>
          <w:rFonts w:eastAsia="Calibri" w:cs="Arial"/>
          <w:noProof/>
          <w:color w:val="000000"/>
          <w:szCs w:val="22"/>
          <w:lang w:val="en-IE" w:eastAsia="en-US"/>
        </w:rPr>
        <w:t>. The Anti-Corruption Council, an advisory body to the government which includes civil society, met for the first time under the new Government in April 2026</w:t>
      </w:r>
      <w:r w:rsidRPr="000F51FC">
        <w:rPr>
          <w:rFonts w:eastAsia="Calibri" w:cs="Arial"/>
          <w:noProof/>
          <w:color w:val="000000"/>
          <w:szCs w:val="22"/>
          <w:vertAlign w:val="superscript"/>
          <w:lang w:val="en-IE" w:eastAsia="en-US"/>
        </w:rPr>
        <w:footnoteReference w:id="47"/>
      </w:r>
      <w:r w:rsidRPr="000F51FC">
        <w:rPr>
          <w:rFonts w:eastAsia="Calibri" w:cs="Arial"/>
          <w:noProof/>
          <w:color w:val="000000"/>
          <w:szCs w:val="22"/>
          <w:lang w:val="en-IE" w:eastAsia="en-US"/>
        </w:rPr>
        <w:t>. The</w:t>
      </w:r>
      <w:r w:rsidRPr="000F51FC">
        <w:rPr>
          <w:rFonts w:eastAsia="Calibri" w:cs="Arial"/>
          <w:b/>
          <w:bCs/>
          <w:noProof/>
          <w:color w:val="000000"/>
          <w:szCs w:val="22"/>
          <w:lang w:val="en-IE" w:eastAsia="en-US"/>
        </w:rPr>
        <w:t xml:space="preserve"> </w:t>
      </w:r>
      <w:r w:rsidR="00A31DB2" w:rsidRPr="0054570A">
        <w:rPr>
          <w:rFonts w:eastAsia="Calibri" w:cs="Arial"/>
          <w:noProof/>
          <w:color w:val="000000"/>
          <w:szCs w:val="22"/>
          <w:lang w:val="en-IE" w:eastAsia="en-US"/>
        </w:rPr>
        <w:t>Conflict of Interest and Corruption Prevention</w:t>
      </w:r>
      <w:r w:rsidR="00A31DB2" w:rsidRPr="6C639B65">
        <w:rPr>
          <w:noProof/>
          <w:color w:val="EE0000"/>
          <w:sz w:val="22"/>
          <w:szCs w:val="22"/>
          <w:lang w:val="en"/>
        </w:rPr>
        <w:t xml:space="preserve"> </w:t>
      </w:r>
      <w:r w:rsidRPr="000F51FC">
        <w:rPr>
          <w:rFonts w:eastAsia="Calibri"/>
          <w:noProof/>
          <w:szCs w:val="22"/>
          <w:lang w:val="en-IE" w:eastAsia="en-US"/>
        </w:rPr>
        <w:t>Department of the Ministry of Justice is responsible for the implementation of the Anti-Corruption Strategy, processing of asset and interest declarations and whistleblowing reports. It continues to report a lack of resources despite an increase in tasks, including the implementation of the new lobbying legislation, leading it to focus only on core tasks and legal deadlines</w:t>
      </w:r>
      <w:r w:rsidRPr="000F51FC">
        <w:rPr>
          <w:rFonts w:eastAsia="Calibri" w:cs="Arial"/>
          <w:noProof/>
          <w:color w:val="000000"/>
          <w:szCs w:val="22"/>
          <w:vertAlign w:val="superscript"/>
          <w:lang w:val="en-IE" w:eastAsia="en-US"/>
        </w:rPr>
        <w:footnoteReference w:id="48"/>
      </w:r>
      <w:r w:rsidRPr="000F51FC">
        <w:rPr>
          <w:rFonts w:eastAsia="Calibri"/>
          <w:noProof/>
          <w:szCs w:val="22"/>
          <w:lang w:val="en-IE" w:eastAsia="en-US"/>
        </w:rPr>
        <w:t>.</w:t>
      </w:r>
      <w:bookmarkStart w:id="7" w:name="_Hlk194408034"/>
      <w:r w:rsidRPr="000F51FC">
        <w:rPr>
          <w:rFonts w:eastAsia="Calibri"/>
          <w:noProof/>
          <w:szCs w:val="22"/>
          <w:lang w:val="en-IE" w:eastAsia="en-US"/>
        </w:rPr>
        <w:t xml:space="preserve"> A strategy to fight organised crime was adopted in June 2025 and takes into account the link with corruption, including through further encouraging joint cooperation between customs, police and tax authorities against economic crime</w:t>
      </w:r>
      <w:r w:rsidRPr="000F51FC">
        <w:rPr>
          <w:rFonts w:eastAsia="Calibri"/>
          <w:noProof/>
          <w:szCs w:val="22"/>
          <w:vertAlign w:val="superscript"/>
          <w:lang w:val="en-IE" w:eastAsia="en-US"/>
        </w:rPr>
        <w:footnoteReference w:id="49"/>
      </w:r>
      <w:r w:rsidRPr="000F51FC">
        <w:rPr>
          <w:rFonts w:eastAsia="Calibri"/>
          <w:noProof/>
          <w:szCs w:val="22"/>
          <w:lang w:val="en-IE" w:eastAsia="en-US"/>
        </w:rPr>
        <w:t>.</w:t>
      </w:r>
    </w:p>
    <w:p w14:paraId="23EB72AE" w14:textId="7788E3D7" w:rsidR="000F51FC" w:rsidRPr="000F51FC" w:rsidRDefault="000F51FC" w:rsidP="000F51FC">
      <w:pPr>
        <w:rPr>
          <w:rFonts w:eastAsia="Calibri" w:cs="Arial"/>
          <w:noProof/>
          <w:color w:val="000000"/>
          <w:szCs w:val="22"/>
          <w:highlight w:val="yellow"/>
          <w:lang w:val="en-IE" w:eastAsia="en-US"/>
        </w:rPr>
      </w:pPr>
      <w:bookmarkStart w:id="8" w:name="_Hlk225157619"/>
      <w:bookmarkEnd w:id="7"/>
      <w:r w:rsidRPr="000F51FC">
        <w:rPr>
          <w:rFonts w:eastAsia="Calibri"/>
          <w:b/>
          <w:noProof/>
          <w:color w:val="000000"/>
          <w:szCs w:val="22"/>
          <w:lang w:val="en-IE" w:eastAsia="en-US"/>
        </w:rPr>
        <w:t>The number of corruption investigations, prosecutions and convictions remains stable, with good cooperation between relevant institutions</w:t>
      </w:r>
      <w:r w:rsidRPr="000F51FC">
        <w:rPr>
          <w:rFonts w:eastAsia="Calibri"/>
          <w:b/>
          <w:bCs/>
          <w:noProof/>
          <w:color w:val="000000"/>
          <w:szCs w:val="22"/>
          <w:lang w:val="en-IE" w:eastAsia="en-US"/>
        </w:rPr>
        <w:t>.</w:t>
      </w:r>
      <w:r w:rsidRPr="000F51FC">
        <w:rPr>
          <w:rFonts w:eastAsia="Calibri" w:cs="Arial"/>
          <w:b/>
          <w:noProof/>
          <w:color w:val="000000"/>
          <w:szCs w:val="22"/>
          <w:lang w:val="en-IE" w:eastAsia="en-US"/>
        </w:rPr>
        <w:t xml:space="preserve"> </w:t>
      </w:r>
      <w:bookmarkEnd w:id="8"/>
      <w:r w:rsidRPr="000F51FC">
        <w:rPr>
          <w:rFonts w:eastAsia="Calibri" w:cs="Arial"/>
          <w:noProof/>
          <w:color w:val="000000"/>
          <w:szCs w:val="22"/>
          <w:lang w:val="en-IE" w:eastAsia="en-US"/>
        </w:rPr>
        <w:t>I</w:t>
      </w:r>
      <w:bookmarkStart w:id="9" w:name="_Hlk161755992"/>
      <w:r w:rsidRPr="000F51FC">
        <w:rPr>
          <w:rFonts w:eastAsia="Calibri" w:cs="Arial"/>
          <w:noProof/>
          <w:color w:val="000000"/>
          <w:szCs w:val="22"/>
          <w:lang w:val="en-IE" w:eastAsia="en-US"/>
        </w:rPr>
        <w:t>n 2025 the</w:t>
      </w:r>
      <w:r w:rsidRPr="000F51FC" w:rsidDel="00647C18">
        <w:rPr>
          <w:rFonts w:eastAsia="Calibri" w:cs="Arial"/>
          <w:noProof/>
          <w:color w:val="000000"/>
          <w:szCs w:val="22"/>
          <w:lang w:val="en-IE" w:eastAsia="en-US"/>
        </w:rPr>
        <w:t xml:space="preserve"> </w:t>
      </w:r>
      <w:r w:rsidRPr="000F51FC">
        <w:rPr>
          <w:rFonts w:eastAsia="Calibri" w:cs="Arial"/>
          <w:noProof/>
          <w:color w:val="000000"/>
          <w:szCs w:val="22"/>
          <w:lang w:val="en-IE" w:eastAsia="en-US"/>
        </w:rPr>
        <w:t>authorities opened 243 corruption investigations (154 in 2024) and prosecuted 173 individuals for corruption offences (166 individuals in 2024)</w:t>
      </w:r>
      <w:r w:rsidRPr="000F51FC">
        <w:rPr>
          <w:rFonts w:eastAsia="Calibri" w:cs="Arial"/>
          <w:noProof/>
          <w:color w:val="000000"/>
          <w:szCs w:val="22"/>
          <w:vertAlign w:val="superscript"/>
          <w:lang w:val="en-IE" w:eastAsia="en-US"/>
        </w:rPr>
        <w:footnoteReference w:id="50"/>
      </w:r>
      <w:r w:rsidRPr="000F51FC">
        <w:rPr>
          <w:rFonts w:eastAsia="Calibri" w:cs="Arial"/>
          <w:noProof/>
          <w:color w:val="000000"/>
          <w:szCs w:val="22"/>
          <w:lang w:val="en-IE" w:eastAsia="en-US"/>
        </w:rPr>
        <w:t>. A total of 162 persons were brought to court (141 in 2024)</w:t>
      </w:r>
      <w:r w:rsidRPr="000F51FC">
        <w:rPr>
          <w:rFonts w:eastAsia="Calibri" w:cs="Arial"/>
          <w:noProof/>
          <w:color w:val="000000"/>
          <w:szCs w:val="22"/>
          <w:vertAlign w:val="superscript"/>
          <w:lang w:val="en-IE" w:eastAsia="en-US"/>
        </w:rPr>
        <w:footnoteReference w:id="51"/>
      </w:r>
      <w:r w:rsidRPr="000F51FC">
        <w:rPr>
          <w:rFonts w:eastAsia="Calibri" w:cs="Arial"/>
          <w:noProof/>
          <w:color w:val="000000"/>
          <w:szCs w:val="22"/>
          <w:lang w:val="en-IE" w:eastAsia="en-US"/>
        </w:rPr>
        <w:t>, while 148 were convicted for corruption in 2025 (99 persons in 2024). 2025 saw 12 acquittals for corruption (13 in 2024). Most cases related to the offences of bribery</w:t>
      </w:r>
      <w:r w:rsidRPr="000F51FC">
        <w:rPr>
          <w:rFonts w:eastAsia="Calibri" w:cs="Arial"/>
          <w:noProof/>
          <w:color w:val="000000"/>
          <w:szCs w:val="22"/>
          <w:vertAlign w:val="superscript"/>
          <w:lang w:val="en-IE" w:eastAsia="en-US"/>
        </w:rPr>
        <w:footnoteReference w:id="52"/>
      </w:r>
      <w:r w:rsidRPr="000F51FC">
        <w:rPr>
          <w:rFonts w:eastAsia="Calibri" w:cs="Arial"/>
          <w:noProof/>
          <w:color w:val="000000"/>
          <w:szCs w:val="22"/>
          <w:lang w:val="en-IE" w:eastAsia="en-US"/>
        </w:rPr>
        <w:t>. Cooperation between the relevant law enforcement institutions remains good. The Ministry of Interior and the National Agency against Organised Crime (NCOZ) remain committed to improving the investigative capacities of the latter</w:t>
      </w:r>
      <w:r w:rsidRPr="000F51FC">
        <w:rPr>
          <w:rFonts w:eastAsia="Calibri" w:cs="Arial"/>
          <w:noProof/>
          <w:color w:val="000000"/>
          <w:szCs w:val="22"/>
          <w:vertAlign w:val="superscript"/>
          <w:lang w:val="en-IE" w:eastAsia="en-US"/>
        </w:rPr>
        <w:footnoteReference w:id="53"/>
      </w:r>
      <w:r w:rsidRPr="000F51FC">
        <w:rPr>
          <w:rFonts w:eastAsia="Calibri" w:cs="Arial"/>
          <w:noProof/>
          <w:color w:val="000000"/>
          <w:szCs w:val="22"/>
          <w:lang w:val="en-IE" w:eastAsia="en-US"/>
        </w:rPr>
        <w:t>. As regards foreign bribery, updated statistics are not available. It continues to be the case that only a limited number of cases of foreign bribery are detected and prosecuted despite the legal framework being in place</w:t>
      </w:r>
      <w:r w:rsidRPr="000F51FC">
        <w:rPr>
          <w:rFonts w:eastAsia="Calibri" w:cs="Arial"/>
          <w:noProof/>
          <w:color w:val="000000"/>
          <w:szCs w:val="22"/>
          <w:vertAlign w:val="superscript"/>
          <w:lang w:val="en-IE" w:eastAsia="en-US"/>
        </w:rPr>
        <w:footnoteReference w:id="54"/>
      </w:r>
      <w:r w:rsidRPr="000F51FC">
        <w:rPr>
          <w:rFonts w:eastAsia="Calibri" w:cs="Arial"/>
          <w:noProof/>
          <w:color w:val="000000"/>
          <w:szCs w:val="22"/>
          <w:lang w:val="en-IE" w:eastAsia="en-US"/>
        </w:rPr>
        <w:t>.</w:t>
      </w:r>
      <w:bookmarkEnd w:id="9"/>
      <w:r w:rsidRPr="000F51FC">
        <w:rPr>
          <w:rFonts w:eastAsia="Calibri" w:cs="Arial"/>
          <w:noProof/>
          <w:color w:val="000000"/>
          <w:szCs w:val="22"/>
          <w:lang w:val="en-IE" w:eastAsia="en-US"/>
        </w:rPr>
        <w:t xml:space="preserve"> Cooperation between the national authorities with the European Public Prosecutors Office was reported as good</w:t>
      </w:r>
      <w:r w:rsidRPr="000F51FC">
        <w:rPr>
          <w:rFonts w:eastAsia="Calibri" w:cs="Arial"/>
          <w:noProof/>
          <w:color w:val="000000"/>
          <w:szCs w:val="22"/>
          <w:vertAlign w:val="superscript"/>
          <w:lang w:val="en-IE" w:eastAsia="en-US"/>
        </w:rPr>
        <w:footnoteReference w:id="55"/>
      </w:r>
      <w:r w:rsidRPr="000F51FC">
        <w:rPr>
          <w:rFonts w:eastAsia="Calibri" w:cs="Arial"/>
          <w:noProof/>
          <w:color w:val="000000"/>
          <w:szCs w:val="22"/>
          <w:lang w:val="en-IE" w:eastAsia="en-US"/>
        </w:rPr>
        <w:t>. Of its open cases in 2025, the EPPO reported that six were related to corruption (4.41% of its total open cases)</w:t>
      </w:r>
      <w:r w:rsidRPr="000F51FC">
        <w:rPr>
          <w:rFonts w:eastAsia="Calibri" w:cs="Arial"/>
          <w:noProof/>
          <w:color w:val="000000"/>
          <w:szCs w:val="22"/>
          <w:vertAlign w:val="superscript"/>
          <w:lang w:val="en-IE" w:eastAsia="en-US"/>
        </w:rPr>
        <w:footnoteReference w:id="56"/>
      </w:r>
      <w:r w:rsidRPr="000F51FC">
        <w:rPr>
          <w:rFonts w:eastAsia="Calibri" w:cs="Arial"/>
          <w:noProof/>
          <w:color w:val="000000"/>
          <w:szCs w:val="22"/>
          <w:lang w:val="en-IE" w:eastAsia="en-US"/>
        </w:rPr>
        <w:t>.</w:t>
      </w:r>
    </w:p>
    <w:p w14:paraId="1A9B3C61" w14:textId="44CD3F36" w:rsidR="000F51FC" w:rsidRPr="000F51FC" w:rsidRDefault="000F51FC" w:rsidP="000F51FC">
      <w:pPr>
        <w:rPr>
          <w:rFonts w:eastAsia="Calibri" w:cs="Arial"/>
          <w:noProof/>
          <w:color w:val="000000"/>
          <w:szCs w:val="24"/>
          <w:lang w:val="en-IE" w:eastAsia="en-US"/>
        </w:rPr>
      </w:pPr>
      <w:r w:rsidRPr="000F51FC">
        <w:rPr>
          <w:rFonts w:eastAsia="Calibri"/>
          <w:b/>
          <w:bCs/>
          <w:noProof/>
          <w:szCs w:val="24"/>
          <w:lang w:val="en-IE" w:eastAsia="en-US"/>
        </w:rPr>
        <w:t>While the average length of proceedings continues to be an issue, some further steps were taken to improve procedural aspects and investigations and prosecutions continue, including in high-level corruption cases</w:t>
      </w:r>
      <w:r w:rsidRPr="000F51FC">
        <w:rPr>
          <w:rFonts w:eastAsia="Calibri" w:cs="Arial"/>
          <w:b/>
          <w:bCs/>
          <w:noProof/>
          <w:color w:val="000000"/>
          <w:szCs w:val="24"/>
          <w:vertAlign w:val="superscript"/>
          <w:lang w:val="en-IE" w:eastAsia="en-US"/>
        </w:rPr>
        <w:footnoteReference w:id="57"/>
      </w:r>
      <w:r w:rsidRPr="000F51FC">
        <w:rPr>
          <w:rFonts w:eastAsia="Calibri"/>
          <w:b/>
          <w:bCs/>
          <w:noProof/>
          <w:szCs w:val="24"/>
          <w:lang w:val="en-IE" w:eastAsia="en-US"/>
        </w:rPr>
        <w:t>.</w:t>
      </w:r>
      <w:r w:rsidRPr="000F51FC">
        <w:rPr>
          <w:rFonts w:eastAsia="Calibri"/>
          <w:b/>
          <w:bCs/>
          <w:i/>
          <w:iCs/>
          <w:noProof/>
          <w:szCs w:val="24"/>
          <w:lang w:val="en-IE" w:eastAsia="en-US"/>
        </w:rPr>
        <w:t xml:space="preserve"> </w:t>
      </w:r>
      <w:r w:rsidRPr="000F51FC">
        <w:rPr>
          <w:rFonts w:eastAsia="Calibri" w:cs="Arial"/>
          <w:noProof/>
          <w:color w:val="000000"/>
          <w:szCs w:val="24"/>
          <w:lang w:val="en-IE" w:eastAsia="en-US"/>
        </w:rPr>
        <w:t>Investigations, prosecutions and adjudications continue in cases of high-level corruption involving both former and current high-level officials and additional cases were detected</w:t>
      </w:r>
      <w:r w:rsidRPr="000F51FC">
        <w:rPr>
          <w:rFonts w:eastAsia="Calibri" w:cs="Arial"/>
          <w:noProof/>
          <w:color w:val="000000"/>
          <w:szCs w:val="24"/>
          <w:vertAlign w:val="superscript"/>
          <w:lang w:val="en-IE" w:eastAsia="en-US"/>
        </w:rPr>
        <w:footnoteReference w:id="58"/>
      </w:r>
      <w:r w:rsidRPr="000F51FC">
        <w:rPr>
          <w:rFonts w:eastAsia="Calibri" w:cs="Arial"/>
          <w:noProof/>
          <w:color w:val="000000"/>
          <w:szCs w:val="24"/>
          <w:lang w:val="en-IE" w:eastAsia="en-US"/>
        </w:rPr>
        <w:t xml:space="preserve">. A targeted reform of the Criminal Code and Criminal Procedure Code entered into force on 1 January 2026. It is expected to improve a number of procedural aspects relevant also to high-level corruption cases, making it easier to discontinue criminal </w:t>
      </w:r>
      <w:r w:rsidRPr="00223EAC">
        <w:rPr>
          <w:rFonts w:eastAsia="Calibri" w:cs="Arial"/>
          <w:noProof/>
          <w:color w:val="000000"/>
          <w:szCs w:val="24"/>
          <w:lang w:val="en-IE" w:eastAsia="en-US"/>
        </w:rPr>
        <w:t xml:space="preserve">proceedings </w:t>
      </w:r>
      <w:r w:rsidR="00EB396F" w:rsidRPr="007F082C">
        <w:rPr>
          <w:noProof/>
          <w:szCs w:val="24"/>
        </w:rPr>
        <w:t>where the evidence is insufficient to support an indictment</w:t>
      </w:r>
      <w:r w:rsidRPr="007F082C">
        <w:rPr>
          <w:rFonts w:eastAsia="Calibri" w:cs="Arial"/>
          <w:noProof/>
          <w:szCs w:val="24"/>
          <w:lang w:val="en-IE" w:eastAsia="en-US"/>
        </w:rPr>
        <w:t xml:space="preserve">, </w:t>
      </w:r>
      <w:r w:rsidRPr="00223EAC">
        <w:rPr>
          <w:rFonts w:eastAsia="Calibri" w:cs="Arial"/>
          <w:noProof/>
          <w:color w:val="000000"/>
          <w:szCs w:val="24"/>
          <w:lang w:val="en-IE" w:eastAsia="en-US"/>
        </w:rPr>
        <w:t>and simplify certai</w:t>
      </w:r>
      <w:r w:rsidRPr="000F51FC">
        <w:rPr>
          <w:rFonts w:eastAsia="Calibri" w:cs="Arial"/>
          <w:noProof/>
          <w:color w:val="000000"/>
          <w:szCs w:val="24"/>
          <w:lang w:val="en-IE" w:eastAsia="en-US"/>
        </w:rPr>
        <w:t>n procedural steps including in case of proceedings against shell companies. Legal persons would also be able to be put on probation during proceedings if they have taken steps to remedy the damage or institute compliance programmes</w:t>
      </w:r>
      <w:r w:rsidRPr="000F51FC">
        <w:rPr>
          <w:rFonts w:eastAsia="Calibri" w:cs="Arial"/>
          <w:noProof/>
          <w:color w:val="000000"/>
          <w:szCs w:val="24"/>
          <w:vertAlign w:val="superscript"/>
          <w:lang w:val="en-IE" w:eastAsia="en-US"/>
        </w:rPr>
        <w:footnoteReference w:id="59"/>
      </w:r>
      <w:r w:rsidRPr="000F51FC">
        <w:rPr>
          <w:rFonts w:eastAsia="Calibri" w:cs="Arial"/>
          <w:noProof/>
          <w:color w:val="000000"/>
          <w:szCs w:val="24"/>
          <w:lang w:val="en-IE" w:eastAsia="en-US"/>
        </w:rPr>
        <w:t>. Concerns persist however over the average length of judicial proceedings in high-level corruption cases at all stages of the process</w:t>
      </w:r>
      <w:r w:rsidRPr="000F51FC">
        <w:rPr>
          <w:rFonts w:eastAsia="Calibri" w:cs="Arial"/>
          <w:noProof/>
          <w:color w:val="000000"/>
          <w:szCs w:val="24"/>
          <w:vertAlign w:val="superscript"/>
          <w:lang w:val="en-IE" w:eastAsia="en-US"/>
        </w:rPr>
        <w:footnoteReference w:id="60"/>
      </w:r>
      <w:r w:rsidRPr="000F51FC">
        <w:rPr>
          <w:rFonts w:eastAsia="Calibri" w:cs="Arial"/>
          <w:noProof/>
          <w:color w:val="000000"/>
          <w:szCs w:val="24"/>
          <w:lang w:val="en-IE" w:eastAsia="en-US"/>
        </w:rPr>
        <w:t>, although the Government and public prosecution emphasise that there are important differences depending on the type of offence</w:t>
      </w:r>
      <w:r w:rsidRPr="000F51FC">
        <w:rPr>
          <w:rFonts w:eastAsia="Calibri" w:cs="Arial"/>
          <w:noProof/>
          <w:color w:val="000000"/>
          <w:szCs w:val="24"/>
          <w:vertAlign w:val="superscript"/>
          <w:lang w:val="en-IE" w:eastAsia="en-US"/>
        </w:rPr>
        <w:footnoteReference w:id="61"/>
      </w:r>
      <w:r w:rsidRPr="000F51FC">
        <w:rPr>
          <w:rFonts w:eastAsia="Calibri" w:cs="Arial"/>
          <w:noProof/>
          <w:color w:val="000000"/>
          <w:szCs w:val="24"/>
          <w:lang w:val="en-IE" w:eastAsia="en-US"/>
        </w:rPr>
        <w:t>. The process for lifting the immunities of high-level persons, such as ministers or members of Parliament, under</w:t>
      </w:r>
      <w:r w:rsidRPr="000F51FC" w:rsidDel="00D302B4">
        <w:rPr>
          <w:rFonts w:eastAsia="Calibri" w:cs="Arial"/>
          <w:noProof/>
          <w:color w:val="000000"/>
          <w:szCs w:val="24"/>
          <w:lang w:val="en-IE" w:eastAsia="en-US"/>
        </w:rPr>
        <w:t xml:space="preserve"> </w:t>
      </w:r>
      <w:r w:rsidRPr="000F51FC">
        <w:rPr>
          <w:rFonts w:eastAsia="Calibri" w:cs="Arial"/>
          <w:noProof/>
          <w:color w:val="000000"/>
          <w:szCs w:val="24"/>
          <w:lang w:val="en-IE" w:eastAsia="en-US"/>
        </w:rPr>
        <w:t>investigation has been flagged by civil society as a barrier preventing investigations from moving forward</w:t>
      </w:r>
      <w:r w:rsidRPr="000F51FC">
        <w:rPr>
          <w:rFonts w:eastAsia="Calibri" w:cs="Arial"/>
          <w:noProof/>
          <w:color w:val="000000"/>
          <w:szCs w:val="24"/>
          <w:vertAlign w:val="superscript"/>
          <w:lang w:val="en-IE" w:eastAsia="en-US"/>
        </w:rPr>
        <w:footnoteReference w:id="62"/>
      </w:r>
      <w:r w:rsidRPr="000F51FC">
        <w:rPr>
          <w:rFonts w:eastAsia="Calibri" w:cs="Arial"/>
          <w:noProof/>
          <w:color w:val="000000"/>
          <w:szCs w:val="24"/>
          <w:lang w:val="en-IE" w:eastAsia="en-US"/>
        </w:rPr>
        <w:t>. There were no reports of undue interference into high-level corruption cases</w:t>
      </w:r>
      <w:r w:rsidRPr="000F51FC">
        <w:rPr>
          <w:rFonts w:eastAsia="Calibri" w:cs="Arial"/>
          <w:noProof/>
          <w:color w:val="000000"/>
          <w:szCs w:val="24"/>
          <w:vertAlign w:val="superscript"/>
          <w:lang w:val="en-IE" w:eastAsia="en-US"/>
        </w:rPr>
        <w:footnoteReference w:id="63"/>
      </w:r>
      <w:r w:rsidRPr="000F51FC">
        <w:rPr>
          <w:rFonts w:eastAsia="Calibri" w:cs="Arial"/>
          <w:noProof/>
          <w:color w:val="000000"/>
          <w:szCs w:val="24"/>
          <w:lang w:val="en-IE" w:eastAsia="en-US"/>
        </w:rPr>
        <w:t xml:space="preserve">. On the basis of these developments, there has been some further progress on the recommendation. </w:t>
      </w:r>
    </w:p>
    <w:p w14:paraId="50680D6F" w14:textId="348B9DD6" w:rsidR="000F51FC" w:rsidRPr="000F51FC" w:rsidRDefault="000F51FC" w:rsidP="000F51FC">
      <w:pPr>
        <w:rPr>
          <w:rFonts w:eastAsia="Calibri" w:cs="Arial"/>
          <w:noProof/>
          <w:color w:val="000000"/>
          <w:lang w:val="en-IE" w:eastAsia="en-US"/>
        </w:rPr>
      </w:pPr>
      <w:bookmarkStart w:id="10" w:name="_Hlk224634064"/>
      <w:r w:rsidRPr="1C06909A">
        <w:rPr>
          <w:rFonts w:eastAsia="Calibri" w:cs="Arial"/>
          <w:b/>
          <w:bCs/>
          <w:noProof/>
          <w:color w:val="000000"/>
          <w:lang w:val="en-IE" w:eastAsia="en-US"/>
        </w:rPr>
        <w:t>There was no progress on the recommendation to reinitiate the revision of legislation on conflicts of interest, including as regards beneficial ownership</w:t>
      </w:r>
      <w:bookmarkEnd w:id="10"/>
      <w:r w:rsidRPr="1C06909A">
        <w:rPr>
          <w:rFonts w:eastAsia="Calibri" w:cs="Arial"/>
          <w:b/>
          <w:bCs/>
          <w:noProof/>
          <w:color w:val="000000"/>
          <w:vertAlign w:val="superscript"/>
          <w:lang w:val="en-IE" w:eastAsia="en-US"/>
        </w:rPr>
        <w:footnoteReference w:id="64"/>
      </w:r>
      <w:r w:rsidRPr="1C06909A">
        <w:rPr>
          <w:rFonts w:eastAsia="Calibri" w:cs="Arial"/>
          <w:b/>
          <w:bCs/>
          <w:noProof/>
          <w:color w:val="000000"/>
          <w:lang w:val="en-IE" w:eastAsia="en-US"/>
        </w:rPr>
        <w:t xml:space="preserve">. </w:t>
      </w:r>
      <w:r w:rsidR="00A83742" w:rsidRPr="5428745C">
        <w:rPr>
          <w:rFonts w:eastAsia="Calibri" w:cs="Arial"/>
          <w:noProof/>
          <w:color w:val="000000" w:themeColor="text1"/>
          <w:lang w:val="en-IE" w:eastAsia="en-US"/>
        </w:rPr>
        <w:t xml:space="preserve"> </w:t>
      </w:r>
      <w:r w:rsidR="2FD82FA5" w:rsidRPr="5428745C">
        <w:rPr>
          <w:rFonts w:eastAsia="Calibri" w:cs="Arial"/>
          <w:noProof/>
          <w:color w:val="000000" w:themeColor="text1"/>
          <w:lang w:val="en-IE" w:eastAsia="en-US"/>
        </w:rPr>
        <w:t>A</w:t>
      </w:r>
      <w:r w:rsidR="00A83742" w:rsidRPr="5428745C">
        <w:rPr>
          <w:rFonts w:eastAsia="Calibri" w:cs="Arial"/>
          <w:noProof/>
          <w:color w:val="000000" w:themeColor="text1"/>
          <w:lang w:val="en-IE" w:eastAsia="en-US"/>
        </w:rPr>
        <w:t xml:space="preserve"> revised version of the legislation was proposed in the form of a bill by a Member of Parliament and approved by the Parliament. However, the Constitutional Court’s decision of December 2024 annulled it on procedural grounds</w:t>
      </w:r>
      <w:r w:rsidRPr="5428745C">
        <w:rPr>
          <w:rFonts w:eastAsia="Calibri" w:cs="Arial"/>
          <w:noProof/>
          <w:color w:val="000000"/>
          <w:vertAlign w:val="superscript"/>
          <w:lang w:val="en-IE" w:eastAsia="en-US"/>
        </w:rPr>
        <w:footnoteReference w:id="65"/>
      </w:r>
      <w:r w:rsidRPr="5428745C">
        <w:rPr>
          <w:rFonts w:eastAsia="Calibri" w:cs="Arial"/>
          <w:noProof/>
          <w:color w:val="000000"/>
          <w:lang w:val="en-IE" w:eastAsia="en-US"/>
        </w:rPr>
        <w:t>. Since then, no new initiatives have been taken by either the former or current government to address the issue</w:t>
      </w:r>
      <w:r w:rsidRPr="5428745C">
        <w:rPr>
          <w:rFonts w:eastAsia="Calibri" w:cs="Arial"/>
          <w:noProof/>
          <w:color w:val="000000"/>
          <w:vertAlign w:val="superscript"/>
          <w:lang w:val="en-IE" w:eastAsia="en-US"/>
        </w:rPr>
        <w:footnoteReference w:id="66"/>
      </w:r>
      <w:r w:rsidRPr="5428745C">
        <w:rPr>
          <w:rFonts w:eastAsia="Calibri" w:cs="Arial"/>
          <w:noProof/>
          <w:color w:val="000000"/>
          <w:lang w:val="en-IE" w:eastAsia="en-US"/>
        </w:rPr>
        <w:t xml:space="preserve"> and no broader reform of the legislation is planned</w:t>
      </w:r>
      <w:r w:rsidRPr="5428745C">
        <w:rPr>
          <w:rFonts w:eastAsia="Calibri" w:cs="Arial"/>
          <w:noProof/>
          <w:color w:val="000000"/>
          <w:vertAlign w:val="superscript"/>
          <w:lang w:val="en-IE" w:eastAsia="en-US"/>
        </w:rPr>
        <w:footnoteReference w:id="67"/>
      </w:r>
      <w:r w:rsidRPr="5428745C">
        <w:rPr>
          <w:rFonts w:eastAsia="Calibri" w:cs="Arial"/>
          <w:noProof/>
          <w:color w:val="000000"/>
          <w:lang w:val="en-IE" w:eastAsia="en-US"/>
        </w:rPr>
        <w:t>.</w:t>
      </w:r>
      <w:r w:rsidR="00317C28" w:rsidRPr="5428745C">
        <w:rPr>
          <w:rFonts w:eastAsia="Calibri" w:cs="Arial"/>
          <w:noProof/>
          <w:color w:val="000000" w:themeColor="text1"/>
          <w:lang w:val="en-IE" w:eastAsia="en-US"/>
        </w:rPr>
        <w:t xml:space="preserve"> </w:t>
      </w:r>
      <w:r w:rsidR="00317C28" w:rsidRPr="00827792">
        <w:rPr>
          <w:noProof/>
          <w:lang w:val="cs"/>
        </w:rPr>
        <w:t xml:space="preserve">In June 2026, </w:t>
      </w:r>
      <w:r w:rsidR="00317C28" w:rsidRPr="00827792">
        <w:rPr>
          <w:noProof/>
        </w:rPr>
        <w:t>Members of Parliament tabled a draft revision of the conflicts of interest legislation</w:t>
      </w:r>
      <w:r w:rsidR="00D451D3" w:rsidRPr="1C06909A">
        <w:rPr>
          <w:rStyle w:val="FootnoteReference"/>
          <w:noProof/>
        </w:rPr>
        <w:footnoteReference w:id="68"/>
      </w:r>
      <w:r w:rsidR="00317C28" w:rsidRPr="00827792">
        <w:rPr>
          <w:noProof/>
        </w:rPr>
        <w:t>. The draft</w:t>
      </w:r>
      <w:r w:rsidR="00CE2D7D" w:rsidRPr="00827792">
        <w:rPr>
          <w:noProof/>
        </w:rPr>
        <w:t xml:space="preserve"> </w:t>
      </w:r>
      <w:r w:rsidR="001C508D" w:rsidRPr="00827792">
        <w:rPr>
          <w:noProof/>
        </w:rPr>
        <w:t>includes revisions</w:t>
      </w:r>
      <w:r w:rsidR="0050733A" w:rsidRPr="00827792">
        <w:rPr>
          <w:noProof/>
        </w:rPr>
        <w:t xml:space="preserve"> </w:t>
      </w:r>
      <w:r w:rsidR="00317C28" w:rsidRPr="00827792">
        <w:rPr>
          <w:noProof/>
        </w:rPr>
        <w:t>replacing the concept of a controlling person with that of a beneficial owner</w:t>
      </w:r>
      <w:r w:rsidR="001A3096" w:rsidRPr="00827792">
        <w:rPr>
          <w:noProof/>
        </w:rPr>
        <w:t xml:space="preserve">. </w:t>
      </w:r>
      <w:r w:rsidR="00BD70C9" w:rsidRPr="00827792">
        <w:rPr>
          <w:noProof/>
        </w:rPr>
        <w:t>The proposed</w:t>
      </w:r>
      <w:r w:rsidR="00533A9F" w:rsidRPr="00827792">
        <w:rPr>
          <w:noProof/>
        </w:rPr>
        <w:t xml:space="preserve"> draft</w:t>
      </w:r>
      <w:r w:rsidR="00BD70C9" w:rsidRPr="00827792">
        <w:rPr>
          <w:noProof/>
        </w:rPr>
        <w:t xml:space="preserve"> </w:t>
      </w:r>
      <w:r w:rsidR="000977C9" w:rsidRPr="00827792">
        <w:rPr>
          <w:noProof/>
        </w:rPr>
        <w:t xml:space="preserve">would </w:t>
      </w:r>
      <w:r w:rsidR="00317C28" w:rsidRPr="00827792">
        <w:rPr>
          <w:noProof/>
        </w:rPr>
        <w:t>narrow</w:t>
      </w:r>
      <w:r w:rsidR="000977C9" w:rsidRPr="00827792">
        <w:rPr>
          <w:noProof/>
        </w:rPr>
        <w:t xml:space="preserve"> </w:t>
      </w:r>
      <w:r w:rsidR="00317C28" w:rsidRPr="00827792">
        <w:rPr>
          <w:noProof/>
        </w:rPr>
        <w:t xml:space="preserve">the scope of </w:t>
      </w:r>
      <w:r w:rsidR="006155CC" w:rsidRPr="00827792">
        <w:rPr>
          <w:noProof/>
        </w:rPr>
        <w:t xml:space="preserve">the </w:t>
      </w:r>
      <w:r w:rsidR="006155CC" w:rsidRPr="000C467D">
        <w:rPr>
          <w:noProof/>
        </w:rPr>
        <w:t xml:space="preserve">blanket </w:t>
      </w:r>
      <w:r w:rsidR="004906E0" w:rsidRPr="000C467D">
        <w:rPr>
          <w:noProof/>
        </w:rPr>
        <w:t xml:space="preserve">ban on subsidies </w:t>
      </w:r>
      <w:r w:rsidR="00CA2F99" w:rsidRPr="000C467D">
        <w:rPr>
          <w:noProof/>
        </w:rPr>
        <w:t xml:space="preserve">and public procurement contracts </w:t>
      </w:r>
      <w:r w:rsidR="004906E0" w:rsidRPr="000C467D">
        <w:rPr>
          <w:noProof/>
        </w:rPr>
        <w:t xml:space="preserve">for companies controlled by </w:t>
      </w:r>
      <w:r w:rsidR="00900718" w:rsidRPr="1C06909A">
        <w:rPr>
          <w:noProof/>
        </w:rPr>
        <w:t>members of government</w:t>
      </w:r>
      <w:r w:rsidR="00900718" w:rsidRPr="000C467D">
        <w:rPr>
          <w:noProof/>
          <w:szCs w:val="24"/>
        </w:rPr>
        <w:t>,</w:t>
      </w:r>
      <w:r w:rsidR="00900718" w:rsidRPr="000C467D">
        <w:rPr>
          <w:noProof/>
        </w:rPr>
        <w:t xml:space="preserve"> </w:t>
      </w:r>
      <w:r w:rsidR="00E35BCF" w:rsidRPr="000C467D">
        <w:rPr>
          <w:noProof/>
        </w:rPr>
        <w:t xml:space="preserve">by </w:t>
      </w:r>
      <w:r w:rsidR="004906E0" w:rsidRPr="00827792">
        <w:rPr>
          <w:noProof/>
        </w:rPr>
        <w:t xml:space="preserve">allowing </w:t>
      </w:r>
      <w:r w:rsidR="00E35BCF" w:rsidRPr="0094125E">
        <w:rPr>
          <w:noProof/>
        </w:rPr>
        <w:t>such</w:t>
      </w:r>
      <w:r w:rsidR="004906E0" w:rsidRPr="00827792">
        <w:rPr>
          <w:noProof/>
        </w:rPr>
        <w:t xml:space="preserve"> subsidies</w:t>
      </w:r>
      <w:r w:rsidR="00CA2F99" w:rsidRPr="00827792">
        <w:rPr>
          <w:noProof/>
        </w:rPr>
        <w:t xml:space="preserve"> and contracts</w:t>
      </w:r>
      <w:r w:rsidR="004906E0" w:rsidRPr="00827792">
        <w:rPr>
          <w:noProof/>
        </w:rPr>
        <w:t xml:space="preserve"> </w:t>
      </w:r>
      <w:r w:rsidR="00BB66CC" w:rsidRPr="00827792">
        <w:rPr>
          <w:noProof/>
        </w:rPr>
        <w:t>where they are</w:t>
      </w:r>
      <w:r w:rsidR="004906E0" w:rsidRPr="00827792">
        <w:rPr>
          <w:noProof/>
        </w:rPr>
        <w:t xml:space="preserve"> no</w:t>
      </w:r>
      <w:r w:rsidR="00BB66CC" w:rsidRPr="00827792">
        <w:rPr>
          <w:noProof/>
        </w:rPr>
        <w:t xml:space="preserve">t provided by </w:t>
      </w:r>
      <w:r w:rsidR="004906E0" w:rsidRPr="00827792">
        <w:rPr>
          <w:noProof/>
        </w:rPr>
        <w:t xml:space="preserve">a </w:t>
      </w:r>
      <w:r w:rsidR="00BB66CC" w:rsidRPr="00827792">
        <w:rPr>
          <w:noProof/>
        </w:rPr>
        <w:t>m</w:t>
      </w:r>
      <w:r w:rsidR="004906E0" w:rsidRPr="00827792">
        <w:rPr>
          <w:noProof/>
        </w:rPr>
        <w:t>inistry under the direct responsibility</w:t>
      </w:r>
      <w:r w:rsidR="00834D71" w:rsidRPr="00827792">
        <w:rPr>
          <w:noProof/>
        </w:rPr>
        <w:t xml:space="preserve"> of the relevant government member</w:t>
      </w:r>
      <w:r w:rsidR="0050733A" w:rsidRPr="1C06909A">
        <w:rPr>
          <w:rStyle w:val="FootnoteReference"/>
          <w:noProof/>
        </w:rPr>
        <w:footnoteReference w:id="69"/>
      </w:r>
      <w:r w:rsidR="00912B8F" w:rsidRPr="00827792">
        <w:rPr>
          <w:noProof/>
        </w:rPr>
        <w:t>.</w:t>
      </w:r>
      <w:r w:rsidR="0020313D">
        <w:rPr>
          <w:noProof/>
        </w:rPr>
        <w:t xml:space="preserve"> </w:t>
      </w:r>
      <w:r w:rsidR="001F01EF" w:rsidRPr="009017E8">
        <w:rPr>
          <w:noProof/>
        </w:rPr>
        <w:t xml:space="preserve">In its opinion on the proposal, the government asked for further </w:t>
      </w:r>
      <w:r w:rsidR="007B34B7" w:rsidRPr="009017E8">
        <w:rPr>
          <w:noProof/>
        </w:rPr>
        <w:t xml:space="preserve">legislative and technical </w:t>
      </w:r>
      <w:r w:rsidR="00C57CA4" w:rsidRPr="009017E8">
        <w:rPr>
          <w:noProof/>
        </w:rPr>
        <w:t>amendments</w:t>
      </w:r>
      <w:r w:rsidR="00694763" w:rsidRPr="009017E8">
        <w:rPr>
          <w:noProof/>
        </w:rPr>
        <w:t xml:space="preserve"> to</w:t>
      </w:r>
      <w:r w:rsidR="00C57CA4" w:rsidRPr="009017E8">
        <w:rPr>
          <w:noProof/>
        </w:rPr>
        <w:t xml:space="preserve"> </w:t>
      </w:r>
      <w:r w:rsidR="00694763" w:rsidRPr="009017E8">
        <w:rPr>
          <w:noProof/>
        </w:rPr>
        <w:t>the proposal</w:t>
      </w:r>
      <w:r w:rsidR="00086223" w:rsidRPr="009017E8">
        <w:rPr>
          <w:noProof/>
        </w:rPr>
        <w:t xml:space="preserve">, </w:t>
      </w:r>
      <w:r w:rsidR="00813C72" w:rsidRPr="009017E8">
        <w:rPr>
          <w:noProof/>
        </w:rPr>
        <w:t xml:space="preserve">as well as </w:t>
      </w:r>
      <w:r w:rsidR="00813C72">
        <w:rPr>
          <w:noProof/>
        </w:rPr>
        <w:t xml:space="preserve">an </w:t>
      </w:r>
      <w:r w:rsidR="00813C72" w:rsidRPr="009017E8">
        <w:rPr>
          <w:noProof/>
        </w:rPr>
        <w:t>expert discussion on</w:t>
      </w:r>
      <w:r w:rsidR="00813C72">
        <w:rPr>
          <w:noProof/>
        </w:rPr>
        <w:t xml:space="preserve"> it,</w:t>
      </w:r>
      <w:r w:rsidR="00813C72" w:rsidRPr="009017E8">
        <w:rPr>
          <w:noProof/>
        </w:rPr>
        <w:t xml:space="preserve"> </w:t>
      </w:r>
      <w:r w:rsidR="00086223" w:rsidRPr="009017E8">
        <w:rPr>
          <w:noProof/>
        </w:rPr>
        <w:t>including on th</w:t>
      </w:r>
      <w:r w:rsidR="00706B35" w:rsidRPr="009017E8">
        <w:rPr>
          <w:noProof/>
        </w:rPr>
        <w:t>e proposed changes to the ban on subsidies and public procurement contracts</w:t>
      </w:r>
      <w:r w:rsidR="001F01EF" w:rsidRPr="009017E8">
        <w:rPr>
          <w:rStyle w:val="FootnoteReference"/>
          <w:noProof/>
        </w:rPr>
        <w:footnoteReference w:id="70"/>
      </w:r>
      <w:r w:rsidR="00706B35" w:rsidRPr="009017E8">
        <w:rPr>
          <w:noProof/>
        </w:rPr>
        <w:t xml:space="preserve">. </w:t>
      </w:r>
      <w:r w:rsidRPr="5428745C">
        <w:rPr>
          <w:rFonts w:eastAsia="Calibri" w:cs="Arial"/>
          <w:noProof/>
          <w:color w:val="000000"/>
          <w:lang w:val="en-IE" w:eastAsia="en-US"/>
        </w:rPr>
        <w:t xml:space="preserve">An intense public debate on the enforcement of existing legislation on conflicts of interest and its overall efficiency, in particular as regards controls on specific business interests of high-level officials </w:t>
      </w:r>
      <w:r w:rsidR="00FB64C5" w:rsidRPr="5428745C">
        <w:rPr>
          <w:rFonts w:eastAsia="Calibri" w:cs="Arial"/>
          <w:noProof/>
          <w:color w:val="000000" w:themeColor="text1"/>
          <w:lang w:val="en-IE" w:eastAsia="en-US"/>
        </w:rPr>
        <w:t>is taking pl</w:t>
      </w:r>
      <w:r w:rsidR="00CF73B1" w:rsidRPr="5428745C">
        <w:rPr>
          <w:rFonts w:eastAsia="Calibri" w:cs="Arial"/>
          <w:noProof/>
          <w:color w:val="000000" w:themeColor="text1"/>
          <w:lang w:val="en-IE" w:eastAsia="en-US"/>
        </w:rPr>
        <w:t>a</w:t>
      </w:r>
      <w:r w:rsidR="00FB64C5" w:rsidRPr="5428745C">
        <w:rPr>
          <w:rFonts w:eastAsia="Calibri" w:cs="Arial"/>
          <w:noProof/>
          <w:color w:val="000000" w:themeColor="text1"/>
          <w:lang w:val="en-IE" w:eastAsia="en-US"/>
        </w:rPr>
        <w:t>ce</w:t>
      </w:r>
      <w:r w:rsidRPr="5428745C">
        <w:rPr>
          <w:rFonts w:eastAsia="Calibri" w:cs="Arial"/>
          <w:noProof/>
          <w:color w:val="000000"/>
          <w:vertAlign w:val="superscript"/>
          <w:lang w:val="en-IE" w:eastAsia="en-US"/>
        </w:rPr>
        <w:footnoteReference w:id="71"/>
      </w:r>
      <w:r w:rsidRPr="5428745C">
        <w:rPr>
          <w:rFonts w:eastAsia="Calibri" w:cs="Arial"/>
          <w:noProof/>
          <w:color w:val="000000"/>
          <w:lang w:val="en-IE" w:eastAsia="en-US"/>
        </w:rPr>
        <w:t xml:space="preserve">. </w:t>
      </w:r>
      <w:r w:rsidR="0078525F" w:rsidRPr="000C467D">
        <w:rPr>
          <w:rFonts w:eastAsia="Calibri" w:cs="Arial"/>
          <w:noProof/>
          <w:color w:val="000000" w:themeColor="text1"/>
          <w:lang w:val="en-IE" w:eastAsia="en-US"/>
        </w:rPr>
        <w:t>Exchanges</w:t>
      </w:r>
      <w:r w:rsidR="0078525F" w:rsidRPr="5428745C">
        <w:rPr>
          <w:rFonts w:eastAsia="Calibri" w:cs="Arial"/>
          <w:noProof/>
          <w:color w:val="000000" w:themeColor="text1"/>
          <w:lang w:val="en-IE" w:eastAsia="en-US"/>
        </w:rPr>
        <w:t xml:space="preserve"> </w:t>
      </w:r>
      <w:r w:rsidR="0078525F" w:rsidRPr="000C467D">
        <w:rPr>
          <w:rFonts w:eastAsia="Calibri" w:cs="Arial"/>
          <w:noProof/>
          <w:color w:val="000000" w:themeColor="text1"/>
          <w:lang w:val="en-IE" w:eastAsia="en-US"/>
        </w:rPr>
        <w:t xml:space="preserve">between the Government and the European Commission </w:t>
      </w:r>
      <w:r w:rsidR="0078525F" w:rsidRPr="5428745C">
        <w:rPr>
          <w:rFonts w:eastAsia="Calibri" w:cs="Arial"/>
          <w:noProof/>
          <w:color w:val="000000" w:themeColor="text1"/>
          <w:lang w:val="en-IE" w:eastAsia="en-US"/>
        </w:rPr>
        <w:t xml:space="preserve">on the overall audit and control system remain ongoing. </w:t>
      </w:r>
      <w:r w:rsidRPr="5428745C">
        <w:rPr>
          <w:rFonts w:eastAsia="Calibri" w:cs="Arial"/>
          <w:noProof/>
          <w:color w:val="000000"/>
          <w:lang w:val="en-IE" w:eastAsia="en-US"/>
        </w:rPr>
        <w:t>As</w:t>
      </w:r>
      <w:r w:rsidR="00B6105B">
        <w:rPr>
          <w:rFonts w:eastAsia="Calibri" w:cs="Arial"/>
          <w:noProof/>
          <w:color w:val="000000"/>
          <w:lang w:val="en-IE" w:eastAsia="en-US"/>
        </w:rPr>
        <w:t xml:space="preserve"> the </w:t>
      </w:r>
      <w:r w:rsidR="0050733A" w:rsidRPr="5428745C">
        <w:rPr>
          <w:rFonts w:eastAsia="Calibri" w:cs="Arial"/>
          <w:noProof/>
          <w:color w:val="000000" w:themeColor="text1"/>
          <w:lang w:val="en-IE" w:eastAsia="en-US"/>
        </w:rPr>
        <w:t>outstanding concerns</w:t>
      </w:r>
      <w:r w:rsidR="00B6105B">
        <w:rPr>
          <w:rFonts w:eastAsia="Calibri" w:cs="Arial"/>
          <w:noProof/>
          <w:color w:val="000000" w:themeColor="text1"/>
          <w:lang w:val="en-IE" w:eastAsia="en-US"/>
        </w:rPr>
        <w:t xml:space="preserve"> have not </w:t>
      </w:r>
      <w:r w:rsidR="00C25B75">
        <w:rPr>
          <w:rFonts w:eastAsia="Calibri" w:cs="Arial"/>
          <w:noProof/>
          <w:color w:val="000000" w:themeColor="text1"/>
          <w:lang w:val="en-IE" w:eastAsia="en-US"/>
        </w:rPr>
        <w:t xml:space="preserve">yet </w:t>
      </w:r>
      <w:r w:rsidR="00B6105B">
        <w:rPr>
          <w:rFonts w:eastAsia="Calibri" w:cs="Arial"/>
          <w:noProof/>
          <w:color w:val="000000" w:themeColor="text1"/>
          <w:lang w:val="en-IE" w:eastAsia="en-US"/>
        </w:rPr>
        <w:t xml:space="preserve">been </w:t>
      </w:r>
      <w:r w:rsidR="00015794">
        <w:rPr>
          <w:rFonts w:eastAsia="Calibri" w:cs="Arial"/>
          <w:noProof/>
          <w:color w:val="000000" w:themeColor="text1"/>
          <w:lang w:val="en-IE" w:eastAsia="en-US"/>
        </w:rPr>
        <w:t>addressed</w:t>
      </w:r>
      <w:r w:rsidR="0050733A" w:rsidRPr="5428745C">
        <w:rPr>
          <w:rFonts w:eastAsia="Calibri" w:cs="Arial"/>
          <w:noProof/>
          <w:color w:val="000000" w:themeColor="text1"/>
          <w:lang w:val="en-IE" w:eastAsia="en-US"/>
        </w:rPr>
        <w:t>,</w:t>
      </w:r>
      <w:r w:rsidRPr="5428745C">
        <w:rPr>
          <w:rFonts w:eastAsia="Calibri" w:cs="Arial"/>
          <w:noProof/>
          <w:color w:val="000000"/>
          <w:lang w:val="en-IE" w:eastAsia="en-US"/>
        </w:rPr>
        <w:t xml:space="preserve"> no progress has been made on the recommendation. </w:t>
      </w:r>
    </w:p>
    <w:p w14:paraId="42D83E01" w14:textId="77777777" w:rsidR="000F51FC" w:rsidRPr="000F51FC" w:rsidRDefault="000F51FC" w:rsidP="000F51FC">
      <w:pPr>
        <w:rPr>
          <w:rFonts w:eastAsia="Calibri" w:cs="Arial"/>
          <w:i/>
          <w:iCs/>
          <w:noProof/>
          <w:color w:val="000000"/>
          <w:szCs w:val="24"/>
          <w:lang w:val="en-IE" w:eastAsia="en-US"/>
        </w:rPr>
      </w:pPr>
      <w:r w:rsidRPr="000F51FC">
        <w:rPr>
          <w:rFonts w:eastAsia="Calibri" w:cs="Arial"/>
          <w:b/>
          <w:bCs/>
          <w:noProof/>
          <w:color w:val="000000"/>
          <w:szCs w:val="24"/>
          <w:lang w:val="en-IE" w:eastAsia="en-US"/>
        </w:rPr>
        <w:t>The Government adopted an Ethics Code for members of the Government in March 2026.</w:t>
      </w:r>
      <w:r w:rsidRPr="000F51FC">
        <w:rPr>
          <w:rFonts w:eastAsia="Calibri"/>
          <w:noProof/>
          <w:color w:val="000000"/>
          <w:szCs w:val="24"/>
          <w:lang w:val="en-IE" w:eastAsia="en-US"/>
        </w:rPr>
        <w:t xml:space="preserve"> The Code reiterates existing legal obligations such as the importance of avoiding conflicts of interest, refraining from criminal conduct such as bribery or abuse of office and avoidance of gifts</w:t>
      </w:r>
      <w:r w:rsidRPr="000F51FC">
        <w:rPr>
          <w:rFonts w:eastAsia="Calibri" w:cs="Arial"/>
          <w:noProof/>
          <w:color w:val="000000"/>
          <w:szCs w:val="24"/>
          <w:vertAlign w:val="superscript"/>
          <w:lang w:val="en-IE" w:eastAsia="en-US"/>
        </w:rPr>
        <w:footnoteReference w:id="72"/>
      </w:r>
      <w:r w:rsidRPr="000F51FC">
        <w:rPr>
          <w:rFonts w:eastAsia="Calibri"/>
          <w:noProof/>
          <w:color w:val="000000"/>
          <w:szCs w:val="24"/>
          <w:lang w:val="en-IE" w:eastAsia="en-US"/>
        </w:rPr>
        <w:t>. Civil society expressed doubts regarding future compliance with and enforcement of the code given its non-binding nature and its lack of anchoring in the broader legislative framework</w:t>
      </w:r>
      <w:r w:rsidRPr="000F51FC">
        <w:rPr>
          <w:rFonts w:eastAsia="Calibri"/>
          <w:noProof/>
          <w:color w:val="000000"/>
          <w:szCs w:val="24"/>
          <w:vertAlign w:val="superscript"/>
          <w:lang w:val="en-IE" w:eastAsia="en-US"/>
        </w:rPr>
        <w:footnoteReference w:id="73"/>
      </w:r>
      <w:r w:rsidRPr="000F51FC">
        <w:rPr>
          <w:rFonts w:eastAsia="Calibri"/>
          <w:noProof/>
          <w:color w:val="000000"/>
          <w:szCs w:val="24"/>
          <w:lang w:val="en-IE" w:eastAsia="en-US"/>
        </w:rPr>
        <w:t xml:space="preserve">. As regards ethics in law enforcement, the police </w:t>
      </w:r>
      <w:r w:rsidRPr="000F51FC">
        <w:rPr>
          <w:rFonts w:eastAsia="Calibri" w:cs="Arial"/>
          <w:noProof/>
          <w:color w:val="000000"/>
          <w:szCs w:val="24"/>
          <w:lang w:val="en-IE" w:eastAsia="en-US"/>
        </w:rPr>
        <w:t>continues work to improve its ethics and integrity standards</w:t>
      </w:r>
      <w:r w:rsidRPr="000F51FC">
        <w:rPr>
          <w:rFonts w:eastAsia="Calibri" w:cs="Arial"/>
          <w:noProof/>
          <w:color w:val="000000"/>
          <w:szCs w:val="24"/>
          <w:vertAlign w:val="superscript"/>
          <w:lang w:val="en-IE" w:eastAsia="en-US"/>
        </w:rPr>
        <w:footnoteReference w:id="74"/>
      </w:r>
      <w:r w:rsidRPr="000F51FC">
        <w:rPr>
          <w:rFonts w:eastAsia="Calibri" w:cs="Arial"/>
          <w:noProof/>
          <w:color w:val="000000"/>
          <w:szCs w:val="24"/>
          <w:lang w:val="en-IE" w:eastAsia="en-US"/>
        </w:rPr>
        <w:t>. Civil society highlights that the repeal and replacement of the Civil Service Act raises concerns over the effectiveness of the integrity system for civil servants, including their independence and impartiality in the management of public funds</w:t>
      </w:r>
      <w:r w:rsidRPr="000F51FC">
        <w:rPr>
          <w:rFonts w:eastAsia="Calibri" w:cs="Arial"/>
          <w:noProof/>
          <w:color w:val="000000"/>
          <w:szCs w:val="24"/>
          <w:vertAlign w:val="superscript"/>
          <w:lang w:val="en-IE" w:eastAsia="en-US"/>
        </w:rPr>
        <w:footnoteReference w:id="75"/>
      </w:r>
      <w:r w:rsidRPr="000F51FC">
        <w:rPr>
          <w:rFonts w:eastAsia="Calibri" w:cs="Arial"/>
          <w:noProof/>
          <w:color w:val="000000"/>
          <w:szCs w:val="24"/>
          <w:lang w:val="en-IE" w:eastAsia="en-US"/>
        </w:rPr>
        <w:t xml:space="preserve">. </w:t>
      </w:r>
    </w:p>
    <w:p w14:paraId="7CCF8EAA" w14:textId="51945E52" w:rsidR="000F51FC" w:rsidRPr="000F51FC" w:rsidRDefault="000F51FC" w:rsidP="000F51FC">
      <w:pPr>
        <w:autoSpaceDE w:val="0"/>
        <w:autoSpaceDN w:val="0"/>
        <w:rPr>
          <w:rFonts w:ascii="Calibri" w:eastAsia="Calibri" w:hAnsi="Calibri" w:cs="Arial"/>
          <w:noProof/>
          <w:color w:val="000000"/>
          <w:sz w:val="22"/>
          <w:szCs w:val="22"/>
          <w:highlight w:val="yellow"/>
          <w:lang w:val="en-IE" w:eastAsia="en-US"/>
        </w:rPr>
      </w:pPr>
      <w:bookmarkStart w:id="11" w:name="_Hlk225161669"/>
      <w:bookmarkStart w:id="12" w:name="_Hlk194408099"/>
      <w:r w:rsidRPr="000F51FC">
        <w:rPr>
          <w:rFonts w:eastAsia="Calibri" w:cs="Arial"/>
          <w:b/>
          <w:bCs/>
          <w:noProof/>
          <w:color w:val="000000"/>
          <w:szCs w:val="24"/>
          <w:lang w:val="en-IE" w:eastAsia="en-US"/>
        </w:rPr>
        <w:t>Technical work continues on assessing the rules on asset declarations and revolving doors</w:t>
      </w:r>
      <w:bookmarkEnd w:id="11"/>
      <w:r w:rsidRPr="000F51FC">
        <w:rPr>
          <w:rFonts w:eastAsia="Calibri" w:cs="Arial"/>
          <w:b/>
          <w:bCs/>
          <w:noProof/>
          <w:color w:val="000000"/>
          <w:szCs w:val="24"/>
          <w:lang w:val="en-IE" w:eastAsia="en-US"/>
        </w:rPr>
        <w:t>.</w:t>
      </w:r>
      <w:r w:rsidRPr="000F51FC">
        <w:rPr>
          <w:rFonts w:eastAsia="Calibri" w:cs="Arial"/>
          <w:noProof/>
          <w:color w:val="000000"/>
          <w:szCs w:val="24"/>
          <w:lang w:val="en-IE" w:eastAsia="en-US"/>
        </w:rPr>
        <w:t xml:space="preserve"> </w:t>
      </w:r>
      <w:bookmarkEnd w:id="12"/>
      <w:r w:rsidRPr="000F51FC">
        <w:rPr>
          <w:rFonts w:eastAsia="Calibri"/>
          <w:noProof/>
          <w:szCs w:val="24"/>
          <w:lang w:val="en-IE" w:eastAsia="en-US"/>
        </w:rPr>
        <w:t>A planned study on revolving doors under the 2025-2026 action plan of the Anti-Corruption Strategy</w:t>
      </w:r>
      <w:r w:rsidRPr="000F51FC">
        <w:rPr>
          <w:rFonts w:eastAsia="Calibri"/>
          <w:noProof/>
          <w:szCs w:val="24"/>
          <w:vertAlign w:val="superscript"/>
          <w:lang w:val="en-IE" w:eastAsia="en-US"/>
        </w:rPr>
        <w:footnoteReference w:id="76"/>
      </w:r>
      <w:r w:rsidRPr="000F51FC">
        <w:rPr>
          <w:rFonts w:eastAsia="Calibri"/>
          <w:noProof/>
          <w:szCs w:val="24"/>
          <w:lang w:val="en-IE" w:eastAsia="en-US"/>
        </w:rPr>
        <w:t xml:space="preserve"> is expected to be launched by the Ministry of Justice in 2026. </w:t>
      </w:r>
      <w:r w:rsidRPr="000F51FC">
        <w:rPr>
          <w:rFonts w:eastAsia="Calibri" w:cs="Arial"/>
          <w:noProof/>
          <w:color w:val="000000"/>
          <w:szCs w:val="24"/>
          <w:lang w:val="en-IE" w:eastAsia="en-US"/>
        </w:rPr>
        <w:t>The lack of broader rules on revolving doors for all categories of high-level officials has been flagged as a gap in the legal framework</w:t>
      </w:r>
      <w:r w:rsidRPr="000F51FC">
        <w:rPr>
          <w:rFonts w:eastAsia="Calibri" w:cs="Arial"/>
          <w:noProof/>
          <w:color w:val="000000"/>
          <w:szCs w:val="24"/>
          <w:vertAlign w:val="superscript"/>
          <w:lang w:val="en-IE" w:eastAsia="en-US"/>
        </w:rPr>
        <w:footnoteReference w:id="77"/>
      </w:r>
      <w:r w:rsidRPr="000F51FC">
        <w:rPr>
          <w:rFonts w:eastAsia="Calibri" w:cs="Arial"/>
          <w:noProof/>
          <w:color w:val="000000"/>
          <w:szCs w:val="24"/>
          <w:lang w:val="en-IE" w:eastAsia="en-US"/>
        </w:rPr>
        <w:t>. A political decision on possible revisions to the asset disclosure rule following a 2024 study</w:t>
      </w:r>
      <w:r w:rsidRPr="000F51FC">
        <w:rPr>
          <w:rFonts w:eastAsia="Calibri" w:cs="Arial"/>
          <w:noProof/>
          <w:color w:val="000000"/>
          <w:szCs w:val="22"/>
          <w:vertAlign w:val="superscript"/>
          <w:lang w:val="en-IE" w:eastAsia="en-US"/>
        </w:rPr>
        <w:footnoteReference w:id="78"/>
      </w:r>
      <w:r w:rsidRPr="000F51FC">
        <w:rPr>
          <w:rFonts w:eastAsia="Calibri" w:cs="Arial"/>
          <w:noProof/>
          <w:color w:val="000000"/>
          <w:szCs w:val="24"/>
          <w:lang w:val="en-IE" w:eastAsia="en-US"/>
        </w:rPr>
        <w:t xml:space="preserve"> remains pending</w:t>
      </w:r>
      <w:r w:rsidRPr="000F51FC">
        <w:rPr>
          <w:rFonts w:eastAsia="Calibri" w:cs="Arial"/>
          <w:noProof/>
          <w:color w:val="000000"/>
          <w:szCs w:val="22"/>
          <w:vertAlign w:val="superscript"/>
          <w:lang w:val="en-IE" w:eastAsia="en-US"/>
        </w:rPr>
        <w:footnoteReference w:id="79"/>
      </w:r>
      <w:r w:rsidRPr="000F51FC">
        <w:rPr>
          <w:rFonts w:eastAsia="Calibri" w:cs="Arial"/>
          <w:noProof/>
          <w:color w:val="000000"/>
          <w:szCs w:val="24"/>
          <w:lang w:val="en-IE" w:eastAsia="en-US"/>
        </w:rPr>
        <w:t xml:space="preserve">. As regards the verification of asset declarations, the Ministry of Justice established </w:t>
      </w:r>
      <w:r w:rsidR="006743B3">
        <w:rPr>
          <w:rFonts w:eastAsia="Calibri" w:cs="Arial"/>
          <w:noProof/>
          <w:color w:val="000000"/>
          <w:szCs w:val="24"/>
          <w:lang w:val="en-IE" w:eastAsia="en-US"/>
        </w:rPr>
        <w:t>779</w:t>
      </w:r>
      <w:r w:rsidR="006743B3" w:rsidRPr="000F51FC">
        <w:rPr>
          <w:rFonts w:eastAsia="Calibri" w:cs="Arial"/>
          <w:noProof/>
          <w:color w:val="000000"/>
          <w:szCs w:val="24"/>
          <w:lang w:val="en-IE" w:eastAsia="en-US"/>
        </w:rPr>
        <w:t xml:space="preserve"> </w:t>
      </w:r>
      <w:r w:rsidRPr="000F51FC">
        <w:rPr>
          <w:rFonts w:eastAsia="Calibri" w:cs="Arial"/>
          <w:noProof/>
          <w:color w:val="000000"/>
          <w:szCs w:val="24"/>
          <w:lang w:val="en-IE" w:eastAsia="en-US"/>
        </w:rPr>
        <w:t xml:space="preserve">failures to declare assets in 2025 (down from 1 277 cases reported in 2024 and </w:t>
      </w:r>
      <w:r w:rsidR="006F682F">
        <w:rPr>
          <w:rFonts w:eastAsia="Calibri" w:cs="Arial"/>
          <w:noProof/>
          <w:color w:val="000000"/>
          <w:szCs w:val="24"/>
          <w:lang w:val="en-IE" w:eastAsia="en-US"/>
        </w:rPr>
        <w:t>2097</w:t>
      </w:r>
      <w:r w:rsidRPr="000F51FC">
        <w:rPr>
          <w:rFonts w:eastAsia="Calibri" w:cs="Arial"/>
          <w:noProof/>
          <w:color w:val="000000"/>
          <w:szCs w:val="24"/>
          <w:lang w:val="en-IE" w:eastAsia="en-US"/>
        </w:rPr>
        <w:t xml:space="preserve"> cases reported in 2023)</w:t>
      </w:r>
      <w:r w:rsidRPr="000F51FC">
        <w:rPr>
          <w:rFonts w:eastAsia="Calibri" w:cs="Arial"/>
          <w:noProof/>
          <w:color w:val="000000"/>
          <w:szCs w:val="24"/>
          <w:vertAlign w:val="superscript"/>
          <w:lang w:val="en-IE" w:eastAsia="en-US"/>
        </w:rPr>
        <w:footnoteReference w:id="80"/>
      </w:r>
      <w:r w:rsidRPr="000F51FC">
        <w:rPr>
          <w:rFonts w:eastAsia="Calibri" w:cs="Arial"/>
          <w:noProof/>
          <w:color w:val="000000"/>
          <w:szCs w:val="24"/>
          <w:lang w:val="en-IE" w:eastAsia="en-US"/>
        </w:rPr>
        <w:t>. It conducted 42 in-depth verifications of declarations filled by public officials leading to 23 cases of administrative proceedings against public officials at municipal level</w:t>
      </w:r>
      <w:r w:rsidRPr="000F51FC">
        <w:rPr>
          <w:rFonts w:eastAsia="Calibri" w:cs="Arial"/>
          <w:noProof/>
          <w:color w:val="000000"/>
          <w:szCs w:val="24"/>
          <w:vertAlign w:val="superscript"/>
          <w:lang w:val="en-IE" w:eastAsia="en-US"/>
        </w:rPr>
        <w:footnoteReference w:id="81"/>
      </w:r>
      <w:r w:rsidRPr="000F51FC">
        <w:rPr>
          <w:rFonts w:ascii="Calibri" w:eastAsia="Calibri" w:hAnsi="Calibri" w:cs="Arial"/>
          <w:noProof/>
          <w:color w:val="000000"/>
          <w:sz w:val="22"/>
          <w:szCs w:val="22"/>
          <w:lang w:val="en-IE" w:eastAsia="en-US"/>
        </w:rPr>
        <w:t xml:space="preserve">. </w:t>
      </w:r>
      <w:r w:rsidRPr="000F51FC">
        <w:rPr>
          <w:rFonts w:eastAsia="Calibri" w:cs="Arial"/>
          <w:noProof/>
          <w:color w:val="000000"/>
          <w:szCs w:val="24"/>
          <w:lang w:val="en-IE" w:eastAsia="en-US"/>
        </w:rPr>
        <w:t>Civil society continues to</w:t>
      </w:r>
      <w:r w:rsidRPr="000F51FC" w:rsidDel="00E00D35">
        <w:rPr>
          <w:rFonts w:eastAsia="Calibri" w:cs="Arial"/>
          <w:noProof/>
          <w:color w:val="000000"/>
          <w:szCs w:val="24"/>
          <w:lang w:val="en-IE" w:eastAsia="en-US"/>
        </w:rPr>
        <w:t xml:space="preserve"> </w:t>
      </w:r>
      <w:r w:rsidRPr="000F51FC">
        <w:rPr>
          <w:rFonts w:eastAsia="Calibri" w:cs="Arial"/>
          <w:noProof/>
          <w:color w:val="000000"/>
          <w:szCs w:val="24"/>
          <w:lang w:val="en-IE" w:eastAsia="en-US"/>
        </w:rPr>
        <w:t>criticise the decentralised control of declarations, which risks - in their view - to result in uneven implementation of the legislation</w:t>
      </w:r>
      <w:r w:rsidRPr="000F51FC">
        <w:rPr>
          <w:rFonts w:eastAsia="Calibri"/>
          <w:noProof/>
          <w:szCs w:val="24"/>
          <w:vertAlign w:val="superscript"/>
          <w:lang w:val="en-IE" w:eastAsia="en-US"/>
        </w:rPr>
        <w:footnoteReference w:id="82"/>
      </w:r>
      <w:r w:rsidRPr="000F51FC">
        <w:rPr>
          <w:rFonts w:eastAsia="Calibri" w:cs="Arial"/>
          <w:noProof/>
          <w:color w:val="000000"/>
          <w:szCs w:val="24"/>
          <w:lang w:val="en-IE" w:eastAsia="en-US"/>
        </w:rPr>
        <w:t>.</w:t>
      </w:r>
    </w:p>
    <w:p w14:paraId="41A11BF3" w14:textId="77777777" w:rsidR="000F51FC" w:rsidRPr="000F51FC" w:rsidRDefault="000F51FC" w:rsidP="000F51FC">
      <w:pPr>
        <w:rPr>
          <w:rFonts w:eastAsia="Calibri" w:cs="Arial"/>
          <w:noProof/>
          <w:color w:val="000000"/>
          <w:szCs w:val="22"/>
          <w:lang w:val="en-IE" w:eastAsia="en-US"/>
        </w:rPr>
      </w:pPr>
      <w:bookmarkStart w:id="13" w:name="_Hlk194408111"/>
      <w:r w:rsidRPr="000F51FC">
        <w:rPr>
          <w:rFonts w:eastAsia="Calibri" w:cs="Arial"/>
          <w:b/>
          <w:bCs/>
          <w:noProof/>
          <w:color w:val="000000"/>
          <w:szCs w:val="22"/>
          <w:lang w:val="en-IE" w:eastAsia="en-US"/>
        </w:rPr>
        <w:t xml:space="preserve">The new law on lobbying entered into force in July 2025, and its implementation is on track. </w:t>
      </w:r>
      <w:bookmarkEnd w:id="13"/>
      <w:r w:rsidRPr="000F51FC">
        <w:rPr>
          <w:rFonts w:eastAsia="Calibri" w:cs="Arial"/>
          <w:noProof/>
          <w:color w:val="000000"/>
          <w:szCs w:val="22"/>
          <w:lang w:val="en-IE" w:eastAsia="en-US"/>
        </w:rPr>
        <w:t>By the end of 2025, 555 lobbyists and 2 066 lobbied persons were registered in the transparency register</w:t>
      </w:r>
      <w:r w:rsidRPr="000F51FC">
        <w:rPr>
          <w:rFonts w:eastAsia="Calibri" w:cs="Arial"/>
          <w:noProof/>
          <w:color w:val="000000"/>
          <w:szCs w:val="22"/>
          <w:vertAlign w:val="superscript"/>
          <w:lang w:val="en-IE" w:eastAsia="en-US"/>
        </w:rPr>
        <w:footnoteReference w:id="83"/>
      </w:r>
      <w:r w:rsidRPr="000F51FC">
        <w:rPr>
          <w:rFonts w:eastAsia="Calibri" w:cs="Arial"/>
          <w:noProof/>
          <w:color w:val="000000"/>
          <w:szCs w:val="22"/>
          <w:lang w:val="en-IE" w:eastAsia="en-US"/>
        </w:rPr>
        <w:t>. The first deadline to register declarations of lobbying was on 30 January 2026. The Ministry of Justice took steps to raise awareness among registered lobbyists on their reporting obligations in cases of erroneous or missing declarations</w:t>
      </w:r>
      <w:r w:rsidRPr="000F51FC">
        <w:rPr>
          <w:rFonts w:eastAsia="Calibri" w:cs="Arial"/>
          <w:noProof/>
          <w:color w:val="000000"/>
          <w:szCs w:val="22"/>
          <w:vertAlign w:val="superscript"/>
          <w:lang w:val="en-IE" w:eastAsia="en-US"/>
        </w:rPr>
        <w:footnoteReference w:id="84"/>
      </w:r>
      <w:r w:rsidRPr="000F51FC">
        <w:rPr>
          <w:rFonts w:eastAsia="Calibri" w:cs="Arial"/>
          <w:noProof/>
          <w:color w:val="000000"/>
          <w:szCs w:val="22"/>
          <w:lang w:val="en-IE" w:eastAsia="en-US"/>
        </w:rPr>
        <w:t xml:space="preserve">. </w:t>
      </w:r>
      <w:r w:rsidRPr="000F51FC">
        <w:rPr>
          <w:rFonts w:eastAsia="Calibri" w:cs="Arial"/>
          <w:noProof/>
          <w:color w:val="000000"/>
          <w:szCs w:val="22"/>
          <w:lang w:val="en-US" w:eastAsia="en-US"/>
        </w:rPr>
        <w:t>Both Government and stakeholders point to the importance of allocating sufficient resources in the relevant department in the Ministry of Justice to ensure effective implementation</w:t>
      </w:r>
      <w:r w:rsidRPr="000F51FC">
        <w:rPr>
          <w:rFonts w:eastAsia="Calibri" w:cs="Arial"/>
          <w:noProof/>
          <w:color w:val="000000"/>
          <w:szCs w:val="22"/>
          <w:vertAlign w:val="superscript"/>
          <w:lang w:val="en-IE" w:eastAsia="en-US"/>
        </w:rPr>
        <w:footnoteReference w:id="85"/>
      </w:r>
      <w:r w:rsidRPr="000F51FC">
        <w:rPr>
          <w:rFonts w:eastAsia="Calibri" w:cs="Arial"/>
          <w:noProof/>
          <w:color w:val="000000"/>
          <w:szCs w:val="22"/>
          <w:lang w:val="en-IE" w:eastAsia="en-US"/>
        </w:rPr>
        <w:t>. The legislation remains broadly supported by stakeholders</w:t>
      </w:r>
      <w:r w:rsidRPr="000F51FC">
        <w:rPr>
          <w:rFonts w:eastAsia="Calibri" w:cs="Arial"/>
          <w:noProof/>
          <w:color w:val="000000"/>
          <w:szCs w:val="22"/>
          <w:vertAlign w:val="superscript"/>
          <w:lang w:val="en-IE" w:eastAsia="en-US"/>
        </w:rPr>
        <w:footnoteReference w:id="86"/>
      </w:r>
      <w:r w:rsidRPr="000F51FC">
        <w:rPr>
          <w:rFonts w:eastAsia="Calibri" w:cs="Arial"/>
          <w:noProof/>
          <w:color w:val="000000"/>
          <w:szCs w:val="22"/>
          <w:lang w:val="en-IE" w:eastAsia="en-US"/>
        </w:rPr>
        <w:t xml:space="preserve">. </w:t>
      </w:r>
    </w:p>
    <w:p w14:paraId="5CBA0D6C" w14:textId="77777777" w:rsidR="000F51FC" w:rsidRPr="000F51FC" w:rsidRDefault="000F51FC" w:rsidP="000F51FC">
      <w:pPr>
        <w:rPr>
          <w:rFonts w:eastAsia="Calibri" w:cs="Arial"/>
          <w:noProof/>
          <w:color w:val="000000"/>
          <w:szCs w:val="22"/>
          <w:lang w:val="en-IE" w:eastAsia="en-US"/>
        </w:rPr>
      </w:pPr>
      <w:bookmarkStart w:id="14" w:name="_Hlk194408119"/>
      <w:bookmarkStart w:id="15" w:name="_Hlk225161692"/>
      <w:r w:rsidRPr="000F51FC">
        <w:rPr>
          <w:rFonts w:eastAsia="Calibri" w:cs="Arial"/>
          <w:b/>
          <w:noProof/>
          <w:color w:val="000000"/>
          <w:szCs w:val="22"/>
          <w:lang w:val="en-IE" w:eastAsia="en-US"/>
        </w:rPr>
        <w:t>There was no progress</w:t>
      </w:r>
      <w:r w:rsidRPr="000F51FC">
        <w:rPr>
          <w:rFonts w:eastAsia="Calibri" w:cs="Arial"/>
          <w:noProof/>
          <w:color w:val="000000"/>
          <w:szCs w:val="22"/>
          <w:lang w:val="en-IE" w:eastAsia="en-US"/>
        </w:rPr>
        <w:t xml:space="preserve"> </w:t>
      </w:r>
      <w:r w:rsidRPr="000F51FC">
        <w:rPr>
          <w:rFonts w:eastAsia="Calibri" w:cs="Arial"/>
          <w:b/>
          <w:noProof/>
          <w:color w:val="000000"/>
          <w:szCs w:val="22"/>
          <w:lang w:val="en-IE" w:eastAsia="en-US"/>
        </w:rPr>
        <w:t>to improve the integrity framework for the Parliament, particularly by complementing rules on revolving doors</w:t>
      </w:r>
      <w:bookmarkEnd w:id="14"/>
      <w:bookmarkEnd w:id="15"/>
      <w:r w:rsidRPr="000F51FC">
        <w:rPr>
          <w:rFonts w:eastAsia="Calibri" w:cs="Arial"/>
          <w:b/>
          <w:bCs/>
          <w:noProof/>
          <w:color w:val="000000"/>
          <w:szCs w:val="22"/>
          <w:vertAlign w:val="superscript"/>
          <w:lang w:val="en-IE" w:eastAsia="en-US"/>
        </w:rPr>
        <w:footnoteReference w:id="87"/>
      </w:r>
      <w:r w:rsidRPr="000F51FC">
        <w:rPr>
          <w:rFonts w:eastAsia="Calibri" w:cs="Arial"/>
          <w:b/>
          <w:bCs/>
          <w:noProof/>
          <w:color w:val="000000"/>
          <w:szCs w:val="22"/>
          <w:lang w:val="en-IE" w:eastAsia="en-US"/>
        </w:rPr>
        <w:t>.</w:t>
      </w:r>
      <w:r w:rsidRPr="000F51FC">
        <w:rPr>
          <w:rFonts w:eastAsia="Calibri" w:cs="Arial"/>
          <w:noProof/>
          <w:color w:val="000000"/>
          <w:szCs w:val="22"/>
          <w:lang w:val="en-IE" w:eastAsia="en-US"/>
        </w:rPr>
        <w:t xml:space="preserve"> Rules on revolving doors remain unchanged and a comprehensive framework is lacking in relation to gifts and benefits for members of Parliament</w:t>
      </w:r>
      <w:r w:rsidRPr="000F51FC">
        <w:rPr>
          <w:rFonts w:eastAsia="Calibri" w:cs="Arial"/>
          <w:noProof/>
          <w:color w:val="000000"/>
          <w:szCs w:val="22"/>
          <w:vertAlign w:val="superscript"/>
          <w:lang w:val="en-IE" w:eastAsia="en-US"/>
        </w:rPr>
        <w:footnoteReference w:id="88"/>
      </w:r>
      <w:r w:rsidRPr="000F51FC">
        <w:rPr>
          <w:rFonts w:eastAsia="Calibri" w:cs="Arial"/>
          <w:noProof/>
          <w:color w:val="000000"/>
          <w:szCs w:val="22"/>
          <w:lang w:val="en-IE" w:eastAsia="en-US"/>
        </w:rPr>
        <w:t>. The Chamber of Deputies only has voluntary ethics rules for its members, while the Senate remains opposed to any such ethical rules</w:t>
      </w:r>
      <w:r w:rsidRPr="000F51FC">
        <w:rPr>
          <w:rFonts w:eastAsia="Calibri" w:cs="Arial"/>
          <w:noProof/>
          <w:color w:val="000000"/>
          <w:szCs w:val="22"/>
          <w:vertAlign w:val="superscript"/>
          <w:lang w:val="en-IE" w:eastAsia="en-US"/>
        </w:rPr>
        <w:footnoteReference w:id="89"/>
      </w:r>
      <w:r w:rsidRPr="000F51FC">
        <w:rPr>
          <w:rFonts w:eastAsia="Calibri" w:cs="Arial"/>
          <w:noProof/>
          <w:color w:val="000000"/>
          <w:szCs w:val="22"/>
          <w:lang w:val="en-IE" w:eastAsia="en-US"/>
        </w:rPr>
        <w:t>. Therefore, no progress was made on the implementation of the recommendation.</w:t>
      </w:r>
    </w:p>
    <w:p w14:paraId="68A1C166" w14:textId="77777777" w:rsidR="000F51FC" w:rsidRPr="000F51FC" w:rsidRDefault="000F51FC" w:rsidP="000F51FC">
      <w:pPr>
        <w:rPr>
          <w:rFonts w:eastAsia="Calibri" w:cs="Arial"/>
          <w:noProof/>
          <w:color w:val="000000"/>
          <w:szCs w:val="22"/>
          <w:lang w:val="en-IE" w:eastAsia="en-US"/>
        </w:rPr>
      </w:pPr>
      <w:bookmarkStart w:id="16" w:name="_Hlk225162725"/>
      <w:r w:rsidRPr="000F51FC">
        <w:rPr>
          <w:rFonts w:eastAsia="Calibri"/>
          <w:b/>
          <w:noProof/>
          <w:szCs w:val="22"/>
          <w:lang w:val="en-IE" w:eastAsia="en-GB"/>
        </w:rPr>
        <w:t>New legislation on political party financing entered into force, while an</w:t>
      </w:r>
      <w:r w:rsidRPr="000F51FC">
        <w:rPr>
          <w:rFonts w:eastAsia="Calibri" w:cs="Arial"/>
          <w:b/>
          <w:noProof/>
          <w:color w:val="000000"/>
          <w:szCs w:val="22"/>
          <w:lang w:val="en-IE" w:eastAsia="en-US"/>
        </w:rPr>
        <w:t xml:space="preserve"> expansion of the Supreme Audit Office’s mandate is still being considered. </w:t>
      </w:r>
      <w:bookmarkEnd w:id="16"/>
      <w:r w:rsidRPr="000F51FC">
        <w:rPr>
          <w:rFonts w:eastAsia="Calibri" w:cs="Arial"/>
          <w:bCs/>
          <w:noProof/>
          <w:color w:val="000000"/>
          <w:szCs w:val="22"/>
          <w:lang w:val="en-IE" w:eastAsia="en-US"/>
        </w:rPr>
        <w:t>New legislation on the financing of electoral campaigns came into effect on 1 January 2026</w:t>
      </w:r>
      <w:r w:rsidRPr="000F51FC">
        <w:rPr>
          <w:rFonts w:eastAsia="Calibri" w:cs="Arial"/>
          <w:bCs/>
          <w:noProof/>
          <w:color w:val="000000"/>
          <w:szCs w:val="22"/>
          <w:vertAlign w:val="superscript"/>
          <w:lang w:val="en-IE" w:eastAsia="en-US"/>
        </w:rPr>
        <w:footnoteReference w:id="90"/>
      </w:r>
      <w:r w:rsidRPr="000F51FC">
        <w:rPr>
          <w:rFonts w:eastAsia="Calibri" w:cs="Arial"/>
          <w:bCs/>
          <w:noProof/>
          <w:color w:val="000000"/>
          <w:szCs w:val="22"/>
          <w:lang w:val="en-IE" w:eastAsia="en-US"/>
        </w:rPr>
        <w:t xml:space="preserve">. The law consolidates </w:t>
      </w:r>
      <w:r w:rsidRPr="000F51FC">
        <w:rPr>
          <w:rFonts w:eastAsia="Calibri" w:cs="Arial"/>
          <w:noProof/>
          <w:color w:val="000000"/>
          <w:szCs w:val="22"/>
          <w:lang w:val="en-IE" w:eastAsia="en-US"/>
        </w:rPr>
        <w:t>the existing framework on political party financing and introduces some changes, such as an extension on the ban on the use of public resources in electoral campaigns, clearer definitions, monitoring of financing, and tightening rules for accepting gifts and in-kind donations from legal entities</w:t>
      </w:r>
      <w:r w:rsidRPr="000F51FC">
        <w:rPr>
          <w:rFonts w:eastAsia="Calibri" w:cs="Arial"/>
          <w:noProof/>
          <w:color w:val="000000"/>
          <w:szCs w:val="22"/>
          <w:vertAlign w:val="superscript"/>
          <w:lang w:val="en-IE" w:eastAsia="en-US"/>
        </w:rPr>
        <w:footnoteReference w:id="91"/>
      </w:r>
      <w:r w:rsidRPr="000F51FC">
        <w:rPr>
          <w:rFonts w:eastAsia="Calibri" w:cs="Arial"/>
          <w:noProof/>
          <w:color w:val="000000"/>
          <w:szCs w:val="22"/>
          <w:lang w:val="en-IE" w:eastAsia="en-US"/>
        </w:rPr>
        <w:t>. A reform of the Supreme Audit Office (SAO)</w:t>
      </w:r>
      <w:r w:rsidRPr="000F51FC">
        <w:rPr>
          <w:rFonts w:eastAsia="Calibri" w:cs="Arial"/>
          <w:noProof/>
          <w:color w:val="000000"/>
          <w:szCs w:val="22"/>
          <w:vertAlign w:val="superscript"/>
          <w:lang w:val="en-IE" w:eastAsia="en-US"/>
        </w:rPr>
        <w:footnoteReference w:id="92"/>
      </w:r>
      <w:r w:rsidRPr="000F51FC">
        <w:rPr>
          <w:rFonts w:eastAsia="Calibri" w:cs="Arial"/>
          <w:noProof/>
          <w:color w:val="000000"/>
          <w:szCs w:val="22"/>
          <w:lang w:val="en-IE" w:eastAsia="en-US"/>
        </w:rPr>
        <w:t xml:space="preserve"> is included in the policy statement of the new Government</w:t>
      </w:r>
      <w:r w:rsidRPr="000F51FC">
        <w:rPr>
          <w:rFonts w:eastAsia="Calibri" w:cs="Arial"/>
          <w:noProof/>
          <w:color w:val="000000"/>
          <w:szCs w:val="22"/>
          <w:vertAlign w:val="superscript"/>
          <w:lang w:val="en-IE" w:eastAsia="en-US"/>
        </w:rPr>
        <w:footnoteReference w:id="93"/>
      </w:r>
      <w:r w:rsidRPr="000F51FC">
        <w:rPr>
          <w:rFonts w:eastAsia="Calibri" w:cs="Arial"/>
          <w:noProof/>
          <w:color w:val="000000"/>
          <w:szCs w:val="22"/>
          <w:lang w:val="en-IE" w:eastAsia="en-US"/>
        </w:rPr>
        <w:t>. Debates on this draft reform, which requires amendment of the constitution, are ongoing in the Chamber of Deputies</w:t>
      </w:r>
      <w:r w:rsidRPr="000F51FC">
        <w:rPr>
          <w:rFonts w:eastAsia="Calibri" w:cs="Arial"/>
          <w:noProof/>
          <w:color w:val="000000"/>
          <w:szCs w:val="22"/>
          <w:vertAlign w:val="superscript"/>
          <w:lang w:val="en-IE" w:eastAsia="en-US"/>
        </w:rPr>
        <w:footnoteReference w:id="94"/>
      </w:r>
      <w:r w:rsidRPr="000F51FC">
        <w:rPr>
          <w:rFonts w:eastAsia="Calibri" w:cs="Arial"/>
          <w:noProof/>
          <w:color w:val="000000"/>
          <w:szCs w:val="22"/>
          <w:lang w:val="en-IE" w:eastAsia="en-US"/>
        </w:rPr>
        <w:t>. As in previous attempts to reform the Office, it would seek to grant powers to the SAO to audit the Czech Radio and the Czech Television</w:t>
      </w:r>
      <w:r w:rsidRPr="000F51FC">
        <w:rPr>
          <w:rFonts w:eastAsia="Calibri" w:cs="Arial"/>
          <w:noProof/>
          <w:color w:val="000000"/>
          <w:szCs w:val="22"/>
          <w:vertAlign w:val="superscript"/>
          <w:lang w:val="en-IE" w:eastAsia="en-US"/>
        </w:rPr>
        <w:footnoteReference w:id="95"/>
      </w:r>
      <w:r w:rsidRPr="000F51FC">
        <w:rPr>
          <w:rFonts w:eastAsia="Calibri" w:cs="Arial"/>
          <w:noProof/>
          <w:color w:val="000000"/>
          <w:szCs w:val="22"/>
          <w:lang w:val="en-IE" w:eastAsia="en-US"/>
        </w:rPr>
        <w:t xml:space="preserve">. </w:t>
      </w:r>
    </w:p>
    <w:p w14:paraId="208545BE" w14:textId="77777777" w:rsidR="000F51FC" w:rsidRPr="000F51FC" w:rsidRDefault="000F51FC" w:rsidP="000F51FC">
      <w:pPr>
        <w:rPr>
          <w:rFonts w:eastAsia="Calibri" w:cs="Arial"/>
          <w:noProof/>
          <w:color w:val="000000"/>
          <w:szCs w:val="22"/>
          <w:highlight w:val="yellow"/>
          <w:lang w:val="en-IE" w:eastAsia="en-US"/>
        </w:rPr>
      </w:pPr>
      <w:bookmarkStart w:id="17" w:name="_Hlk194408142"/>
      <w:r w:rsidRPr="000F51FC">
        <w:rPr>
          <w:rFonts w:eastAsia="Calibri"/>
          <w:b/>
          <w:noProof/>
          <w:color w:val="000000"/>
          <w:szCs w:val="22"/>
          <w:lang w:val="en-IE" w:eastAsia="en-US"/>
        </w:rPr>
        <w:t>The whistleblower protection system continues to operate, but its effectiveness is questioned</w:t>
      </w:r>
      <w:bookmarkEnd w:id="17"/>
      <w:r w:rsidRPr="000F51FC">
        <w:rPr>
          <w:rFonts w:eastAsia="Calibri"/>
          <w:b/>
          <w:noProof/>
          <w:color w:val="000000"/>
          <w:szCs w:val="22"/>
          <w:lang w:val="en-IE" w:eastAsia="en-US"/>
        </w:rPr>
        <w:t xml:space="preserve"> by stakeholders.</w:t>
      </w:r>
      <w:r w:rsidRPr="000F51FC" w:rsidDel="001103BE">
        <w:rPr>
          <w:rFonts w:eastAsia="Calibri" w:cs="Arial"/>
          <w:b/>
          <w:noProof/>
          <w:color w:val="000000"/>
          <w:szCs w:val="22"/>
          <w:lang w:val="en-IE" w:eastAsia="en-US"/>
        </w:rPr>
        <w:t xml:space="preserve"> </w:t>
      </w:r>
      <w:r w:rsidRPr="000F51FC">
        <w:rPr>
          <w:rFonts w:eastAsia="Calibri" w:cs="Arial"/>
          <w:noProof/>
          <w:color w:val="000000"/>
          <w:szCs w:val="22"/>
          <w:lang w:val="en-IE" w:eastAsia="en-US"/>
        </w:rPr>
        <w:t>Implementation and awareness-raising of the 2023</w:t>
      </w:r>
      <w:r w:rsidRPr="000F51FC">
        <w:rPr>
          <w:rFonts w:eastAsia="Calibri" w:cs="Arial"/>
          <w:b/>
          <w:bCs/>
          <w:noProof/>
          <w:color w:val="000000"/>
          <w:szCs w:val="22"/>
          <w:lang w:val="en-IE" w:eastAsia="en-US"/>
        </w:rPr>
        <w:t xml:space="preserve"> </w:t>
      </w:r>
      <w:r w:rsidRPr="000F51FC">
        <w:rPr>
          <w:rFonts w:eastAsia="Calibri" w:cs="Arial"/>
          <w:noProof/>
          <w:color w:val="000000"/>
          <w:szCs w:val="22"/>
          <w:lang w:val="en-IE" w:eastAsia="en-US"/>
        </w:rPr>
        <w:t>legislation on whistleblower protection by the Ministry of Justice continued</w:t>
      </w:r>
      <w:r w:rsidRPr="000F51FC">
        <w:rPr>
          <w:rFonts w:eastAsia="Calibri" w:cs="Arial"/>
          <w:noProof/>
          <w:color w:val="000000"/>
          <w:szCs w:val="22"/>
          <w:vertAlign w:val="superscript"/>
          <w:lang w:val="en-IE" w:eastAsia="en-US"/>
        </w:rPr>
        <w:footnoteReference w:id="96"/>
      </w:r>
      <w:r w:rsidRPr="000F51FC">
        <w:rPr>
          <w:rFonts w:eastAsia="Calibri" w:cs="Arial"/>
          <w:noProof/>
          <w:color w:val="000000"/>
          <w:szCs w:val="22"/>
          <w:lang w:val="en-IE" w:eastAsia="en-US"/>
        </w:rPr>
        <w:t>. The Government reports that out of the 238 whistleblower reports received in 2025</w:t>
      </w:r>
      <w:r w:rsidRPr="000F51FC">
        <w:rPr>
          <w:rFonts w:eastAsia="Calibri" w:cs="Arial"/>
          <w:noProof/>
          <w:color w:val="000000"/>
          <w:szCs w:val="22"/>
          <w:vertAlign w:val="superscript"/>
          <w:lang w:val="en-IE" w:eastAsia="en-US"/>
        </w:rPr>
        <w:footnoteReference w:id="97"/>
      </w:r>
      <w:r w:rsidRPr="000F51FC">
        <w:rPr>
          <w:rFonts w:eastAsia="Calibri" w:cs="Arial"/>
          <w:noProof/>
          <w:color w:val="000000"/>
          <w:szCs w:val="22"/>
          <w:lang w:val="en-IE" w:eastAsia="en-US"/>
        </w:rPr>
        <w:t>, employees of legal entities filed a total of 18 reports (6 in 2024), other citizens filed a total of 15 reports (13 in 2024) and there were 7 anonymous reports (the same as in 2024), with a link to corruption</w:t>
      </w:r>
      <w:r w:rsidRPr="000F51FC">
        <w:rPr>
          <w:rFonts w:eastAsia="Calibri" w:cs="Arial"/>
          <w:noProof/>
          <w:color w:val="000000"/>
          <w:szCs w:val="22"/>
          <w:vertAlign w:val="superscript"/>
          <w:lang w:val="en-IE" w:eastAsia="en-US"/>
        </w:rPr>
        <w:footnoteReference w:id="98"/>
      </w:r>
      <w:r w:rsidRPr="000F51FC">
        <w:rPr>
          <w:rFonts w:eastAsia="Calibri" w:cs="Arial"/>
          <w:noProof/>
          <w:color w:val="000000"/>
          <w:szCs w:val="22"/>
          <w:lang w:val="en-IE" w:eastAsia="en-US"/>
        </w:rPr>
        <w:t>. The</w:t>
      </w:r>
      <w:r w:rsidRPr="000F51FC" w:rsidDel="001103BE">
        <w:rPr>
          <w:rFonts w:eastAsia="Calibri" w:cs="Arial"/>
          <w:noProof/>
          <w:color w:val="000000"/>
          <w:szCs w:val="22"/>
          <w:lang w:val="en-IE" w:eastAsia="en-US"/>
        </w:rPr>
        <w:t xml:space="preserve"> </w:t>
      </w:r>
      <w:r w:rsidRPr="000F51FC">
        <w:rPr>
          <w:rFonts w:eastAsia="Calibri" w:cs="Arial"/>
          <w:noProof/>
          <w:color w:val="000000"/>
          <w:szCs w:val="22"/>
          <w:lang w:val="en-IE" w:eastAsia="en-US"/>
        </w:rPr>
        <w:t>Government halted funding for a civil society-led anti-corruption programme which includes support for the Whistleblower Centre informing citizens of their rights</w:t>
      </w:r>
      <w:r w:rsidRPr="000F51FC">
        <w:rPr>
          <w:rFonts w:eastAsia="Calibri" w:cs="Arial"/>
          <w:noProof/>
          <w:color w:val="000000"/>
          <w:szCs w:val="22"/>
          <w:vertAlign w:val="superscript"/>
          <w:lang w:val="en-IE" w:eastAsia="en-US"/>
        </w:rPr>
        <w:footnoteReference w:id="99"/>
      </w:r>
      <w:r w:rsidRPr="000F51FC">
        <w:rPr>
          <w:rFonts w:eastAsia="Calibri" w:cs="Arial"/>
          <w:noProof/>
          <w:color w:val="000000"/>
          <w:szCs w:val="22"/>
          <w:lang w:val="en-IE" w:eastAsia="en-US"/>
        </w:rPr>
        <w:t>.</w:t>
      </w:r>
      <w:r w:rsidRPr="000F51FC">
        <w:rPr>
          <w:rFonts w:eastAsia="Calibri"/>
          <w:noProof/>
          <w:color w:val="000000"/>
          <w:szCs w:val="22"/>
          <w:lang w:val="en-IE" w:eastAsia="en-US"/>
        </w:rPr>
        <w:t xml:space="preserve"> Overall, civil society assesses whistleblower protection as weak in practice, stating that potential whistleblowers do not come forward due to a </w:t>
      </w:r>
      <w:r w:rsidRPr="000F51FC">
        <w:rPr>
          <w:rFonts w:eastAsia="Calibri"/>
          <w:noProof/>
          <w:color w:val="000000"/>
          <w:szCs w:val="22"/>
          <w:lang w:val="en-US" w:eastAsia="en-US"/>
        </w:rPr>
        <w:t>lack of trust in the system</w:t>
      </w:r>
      <w:r w:rsidRPr="000F51FC">
        <w:rPr>
          <w:rFonts w:eastAsia="Calibri"/>
          <w:noProof/>
          <w:color w:val="000000"/>
          <w:szCs w:val="22"/>
          <w:vertAlign w:val="superscript"/>
          <w:lang w:val="en-IE" w:eastAsia="en-US"/>
        </w:rPr>
        <w:footnoteReference w:id="100"/>
      </w:r>
      <w:r w:rsidRPr="000F51FC">
        <w:rPr>
          <w:rFonts w:eastAsia="Calibri"/>
          <w:noProof/>
          <w:color w:val="000000"/>
          <w:szCs w:val="22"/>
          <w:lang w:val="en-IE" w:eastAsia="en-US"/>
        </w:rPr>
        <w:t xml:space="preserve">. </w:t>
      </w:r>
      <w:bookmarkStart w:id="18" w:name="_Hlk194476350"/>
    </w:p>
    <w:p w14:paraId="33D13BC7" w14:textId="77777777" w:rsidR="000F51FC" w:rsidRPr="000F51FC" w:rsidRDefault="000F51FC" w:rsidP="000F51FC">
      <w:pPr>
        <w:rPr>
          <w:rFonts w:eastAsia="Calibri"/>
          <w:noProof/>
          <w:color w:val="000000"/>
          <w:szCs w:val="24"/>
          <w:lang w:val="en-IE" w:eastAsia="en-US"/>
        </w:rPr>
      </w:pPr>
      <w:bookmarkStart w:id="19" w:name="_Hlk225170124"/>
      <w:bookmarkEnd w:id="18"/>
      <w:r w:rsidRPr="000F51FC">
        <w:rPr>
          <w:rFonts w:eastAsia="Calibri" w:cs="Arial"/>
          <w:b/>
          <w:bCs/>
          <w:noProof/>
          <w:color w:val="000000"/>
          <w:szCs w:val="24"/>
          <w:lang w:val="en-IE" w:eastAsia="en-US"/>
        </w:rPr>
        <w:t xml:space="preserve">Corruption risks in public procurement remain an important point of attention for the authorities. </w:t>
      </w:r>
      <w:bookmarkEnd w:id="19"/>
      <w:r w:rsidRPr="000F51FC">
        <w:rPr>
          <w:rFonts w:eastAsia="Calibri" w:cs="Arial"/>
          <w:noProof/>
          <w:color w:val="000000"/>
          <w:szCs w:val="24"/>
          <w:lang w:val="en-IE" w:eastAsia="en-US"/>
        </w:rPr>
        <w:t xml:space="preserve">As regards public procurement, </w:t>
      </w:r>
      <w:r w:rsidRPr="000F51FC">
        <w:rPr>
          <w:rFonts w:eastAsia="Calibri"/>
          <w:noProof/>
          <w:color w:val="000000"/>
          <w:szCs w:val="24"/>
          <w:lang w:val="en-IE" w:eastAsia="en-US"/>
        </w:rPr>
        <w:t>businesses’ attitudes towards corruption in the EU show that 28% of companies in Czechia (EU average 30%) think that corruption has prevented them from winning a public tender or a public procurement contract in practice in the last three years</w:t>
      </w:r>
      <w:r w:rsidRPr="000F51FC">
        <w:rPr>
          <w:rFonts w:eastAsia="Calibri"/>
          <w:noProof/>
          <w:color w:val="000000"/>
          <w:szCs w:val="24"/>
          <w:vertAlign w:val="superscript"/>
          <w:lang w:val="en-IE" w:eastAsia="en-US"/>
        </w:rPr>
        <w:footnoteReference w:id="101"/>
      </w:r>
      <w:r w:rsidRPr="000F51FC">
        <w:rPr>
          <w:rFonts w:eastAsia="Calibri"/>
          <w:noProof/>
          <w:color w:val="000000"/>
          <w:szCs w:val="24"/>
          <w:lang w:val="en-IE" w:eastAsia="en-US"/>
        </w:rPr>
        <w:t>. 57% of businesses perceive the level of independence of the public procurement review body (The Office for the Protection of Competition) as very or fairly good, which has significantly increased in comparison with 2025 (43%)</w:t>
      </w:r>
      <w:r w:rsidRPr="000F51FC">
        <w:rPr>
          <w:rFonts w:eastAsia="Calibri"/>
          <w:noProof/>
          <w:color w:val="000000"/>
          <w:szCs w:val="24"/>
          <w:vertAlign w:val="superscript"/>
          <w:lang w:val="en-IE" w:eastAsia="en-US"/>
        </w:rPr>
        <w:footnoteReference w:id="102"/>
      </w:r>
      <w:r w:rsidRPr="000F51FC">
        <w:rPr>
          <w:rFonts w:eastAsia="Calibri"/>
          <w:noProof/>
          <w:color w:val="000000"/>
          <w:szCs w:val="24"/>
          <w:lang w:val="en-IE" w:eastAsia="en-US"/>
        </w:rPr>
        <w:t>. The Single Market and Competitiveness Scoreboard on access to public procurement in Czechia reports 41% of single bids for 2025 (EU average 27%)</w:t>
      </w:r>
      <w:r w:rsidRPr="000F51FC">
        <w:rPr>
          <w:rFonts w:eastAsia="Calibri"/>
          <w:noProof/>
          <w:color w:val="000000"/>
          <w:szCs w:val="24"/>
          <w:vertAlign w:val="superscript"/>
          <w:lang w:val="en-IE" w:eastAsia="en-US"/>
        </w:rPr>
        <w:footnoteReference w:id="103"/>
      </w:r>
      <w:r w:rsidRPr="000F51FC">
        <w:rPr>
          <w:rFonts w:eastAsia="Calibri"/>
          <w:noProof/>
          <w:color w:val="000000"/>
          <w:szCs w:val="24"/>
          <w:lang w:val="en-IE" w:eastAsia="en-US"/>
        </w:rPr>
        <w:t>. Public procurement is seen as a main corruption risk area, including by law enforcement, particularly in cases of alleged collusion between a bidder and a contracting authority</w:t>
      </w:r>
      <w:r w:rsidRPr="000F51FC">
        <w:rPr>
          <w:rFonts w:eastAsia="Calibri"/>
          <w:noProof/>
          <w:color w:val="000000"/>
          <w:szCs w:val="24"/>
          <w:vertAlign w:val="superscript"/>
          <w:lang w:val="en-IE" w:eastAsia="en-US"/>
        </w:rPr>
        <w:footnoteReference w:id="104"/>
      </w:r>
      <w:r w:rsidRPr="000F51FC">
        <w:rPr>
          <w:rFonts w:eastAsia="Calibri"/>
          <w:noProof/>
          <w:color w:val="000000"/>
          <w:szCs w:val="24"/>
          <w:lang w:val="en-IE" w:eastAsia="en-US"/>
        </w:rPr>
        <w:t xml:space="preserve">. The </w:t>
      </w:r>
      <w:r w:rsidRPr="000F51FC">
        <w:rPr>
          <w:rFonts w:eastAsia="Calibri" w:cs="Arial"/>
          <w:noProof/>
          <w:color w:val="000000"/>
          <w:szCs w:val="24"/>
          <w:lang w:val="en-IE" w:eastAsia="en-US"/>
        </w:rPr>
        <w:t>National Agency against Organised Crime (</w:t>
      </w:r>
      <w:r w:rsidRPr="000F51FC">
        <w:rPr>
          <w:rFonts w:eastAsia="Calibri"/>
          <w:noProof/>
          <w:color w:val="000000"/>
          <w:szCs w:val="24"/>
          <w:lang w:val="en-IE" w:eastAsia="en-US"/>
        </w:rPr>
        <w:t>NCOZ) and the Office for the Protection of Competition work closely together to address this issue</w:t>
      </w:r>
      <w:r w:rsidRPr="000F51FC">
        <w:rPr>
          <w:rFonts w:eastAsia="Calibri"/>
          <w:noProof/>
          <w:color w:val="000000"/>
          <w:szCs w:val="24"/>
          <w:vertAlign w:val="superscript"/>
          <w:lang w:val="en-IE" w:eastAsia="en-US"/>
        </w:rPr>
        <w:footnoteReference w:id="105"/>
      </w:r>
      <w:r w:rsidRPr="000F51FC">
        <w:rPr>
          <w:rFonts w:eastAsia="Calibri"/>
          <w:noProof/>
          <w:color w:val="000000"/>
          <w:szCs w:val="24"/>
          <w:lang w:val="en-IE" w:eastAsia="en-US"/>
        </w:rPr>
        <w:t>. A proposed reform of the Office for the Protection of Competition was not approved by the previous Government, despite having been included in the Anti-Corruption action plan</w:t>
      </w:r>
      <w:r w:rsidRPr="000F51FC">
        <w:rPr>
          <w:rFonts w:eastAsia="Calibri"/>
          <w:noProof/>
          <w:color w:val="000000"/>
          <w:szCs w:val="24"/>
          <w:vertAlign w:val="superscript"/>
          <w:lang w:val="en-IE" w:eastAsia="en-US"/>
        </w:rPr>
        <w:footnoteReference w:id="106"/>
      </w:r>
      <w:r w:rsidRPr="000F51FC">
        <w:rPr>
          <w:rFonts w:eastAsia="Calibri"/>
          <w:noProof/>
          <w:color w:val="000000"/>
          <w:szCs w:val="24"/>
          <w:lang w:val="en-IE" w:eastAsia="en-US"/>
        </w:rPr>
        <w:t>. This was criticised by civil society</w:t>
      </w:r>
      <w:r w:rsidRPr="000F51FC">
        <w:rPr>
          <w:rFonts w:eastAsia="Calibri"/>
          <w:noProof/>
          <w:color w:val="000000"/>
          <w:szCs w:val="24"/>
          <w:vertAlign w:val="superscript"/>
          <w:lang w:val="en-IE" w:eastAsia="en-US"/>
        </w:rPr>
        <w:footnoteReference w:id="107"/>
      </w:r>
      <w:r w:rsidRPr="000F51FC">
        <w:rPr>
          <w:rFonts w:eastAsia="Calibri"/>
          <w:noProof/>
          <w:color w:val="000000"/>
          <w:szCs w:val="24"/>
          <w:lang w:val="en-IE" w:eastAsia="en-US"/>
        </w:rPr>
        <w:t>. The construction, health and defence sectors have also been flagged by stakeholders, including the NCOZ and the prosecution, as being at particular risk of corruption given the large amount of public funds at stake in those sectors, and they remain monitored by law enforcement</w:t>
      </w:r>
      <w:r w:rsidRPr="000F51FC">
        <w:rPr>
          <w:rFonts w:eastAsia="Calibri"/>
          <w:noProof/>
          <w:color w:val="000000"/>
          <w:szCs w:val="24"/>
          <w:vertAlign w:val="superscript"/>
          <w:lang w:val="en-IE" w:eastAsia="en-US"/>
        </w:rPr>
        <w:footnoteReference w:id="108"/>
      </w:r>
      <w:r w:rsidRPr="000F51FC">
        <w:rPr>
          <w:rFonts w:eastAsia="Calibri"/>
          <w:noProof/>
          <w:color w:val="000000"/>
          <w:szCs w:val="24"/>
          <w:lang w:val="en-IE" w:eastAsia="en-US"/>
        </w:rPr>
        <w:t>.</w:t>
      </w:r>
    </w:p>
    <w:p w14:paraId="7CEF0C25" w14:textId="77777777" w:rsidR="000F51FC" w:rsidRPr="000F51FC" w:rsidRDefault="000F51FC" w:rsidP="000F51FC">
      <w:pPr>
        <w:keepNext/>
        <w:numPr>
          <w:ilvl w:val="0"/>
          <w:numId w:val="30"/>
        </w:numPr>
        <w:spacing w:after="160" w:line="279" w:lineRule="auto"/>
        <w:jc w:val="left"/>
        <w:outlineLvl w:val="0"/>
        <w:rPr>
          <w:noProof/>
          <w:szCs w:val="24"/>
          <w:u w:val="single"/>
          <w:lang w:val="en-IE" w:eastAsia="fr-FR"/>
        </w:rPr>
      </w:pPr>
      <w:r w:rsidRPr="000F51FC">
        <w:rPr>
          <w:b/>
          <w:smallCaps/>
          <w:noProof/>
          <w:szCs w:val="24"/>
          <w:u w:val="single"/>
          <w:lang w:val="en-IE" w:eastAsia="fr-FR"/>
        </w:rPr>
        <w:t xml:space="preserve">Media Pluralism and Media Freedom </w:t>
      </w:r>
    </w:p>
    <w:p w14:paraId="79B1D2E3" w14:textId="77777777" w:rsidR="000F51FC" w:rsidRPr="000F51FC" w:rsidRDefault="000F51FC" w:rsidP="000F51FC">
      <w:pPr>
        <w:rPr>
          <w:noProof/>
          <w:szCs w:val="22"/>
          <w:lang w:val="en-IE" w:eastAsia="fr-FR"/>
        </w:rPr>
      </w:pPr>
      <w:r w:rsidRPr="000F51FC">
        <w:rPr>
          <w:b/>
          <w:bCs/>
          <w:noProof/>
          <w:szCs w:val="22"/>
          <w:lang w:val="en-IE" w:eastAsia="fr-FR"/>
        </w:rPr>
        <w:t xml:space="preserve">Draft legislation which would confer new powers on the media regulator and provide media companies with additional rights and responsibilities remains pending. </w:t>
      </w:r>
      <w:r w:rsidRPr="000F51FC">
        <w:rPr>
          <w:noProof/>
          <w:szCs w:val="22"/>
          <w:lang w:val="en-IE" w:eastAsia="fr-FR"/>
        </w:rPr>
        <w:t>The draft Law on Media Services remains pending. With a view to alignment with the European Media Freedom Act, the draft law aims to clarify the role of the media regulator when scrutinising market concentrations, give it a monitoring and oversight role to ensure that public bodies publish the amounts allocated for the purpose of state advertising, and expand the definition of media service providers to those providing online services. The Media Pluralism Monitor 2026 confirms its low-risk score in relation to the independence of the media regulator</w:t>
      </w:r>
      <w:r w:rsidRPr="000F51FC">
        <w:rPr>
          <w:bCs/>
          <w:noProof/>
          <w:vertAlign w:val="superscript"/>
          <w:lang w:val="en-IE" w:eastAsia="fr-FR"/>
        </w:rPr>
        <w:footnoteReference w:id="109"/>
      </w:r>
      <w:r w:rsidRPr="000F51FC">
        <w:rPr>
          <w:b/>
          <w:bCs/>
          <w:noProof/>
          <w:szCs w:val="22"/>
          <w:lang w:val="en-IE" w:eastAsia="fr-FR"/>
        </w:rPr>
        <w:t xml:space="preserve">. </w:t>
      </w:r>
      <w:r w:rsidRPr="000F51FC">
        <w:rPr>
          <w:noProof/>
          <w:szCs w:val="22"/>
          <w:lang w:val="en-IE" w:eastAsia="fr-FR"/>
        </w:rPr>
        <w:t>In August 2025, the main media associations and public service media broadcasters adopted a self-regulatory Code of Conduct addressing editorial independence, transparency and professional standards, which was followed up with a ten-point Memorandum in January 2026</w:t>
      </w:r>
      <w:r w:rsidRPr="000F51FC">
        <w:rPr>
          <w:bCs/>
          <w:noProof/>
          <w:vertAlign w:val="superscript"/>
          <w:lang w:val="en-IE" w:eastAsia="fr-FR"/>
        </w:rPr>
        <w:footnoteReference w:id="110"/>
      </w:r>
      <w:r w:rsidRPr="000F51FC">
        <w:rPr>
          <w:noProof/>
          <w:szCs w:val="22"/>
          <w:lang w:val="en-IE" w:eastAsia="fr-FR"/>
        </w:rPr>
        <w:t xml:space="preserve">. </w:t>
      </w:r>
    </w:p>
    <w:p w14:paraId="35F43A96" w14:textId="3796AD05" w:rsidR="000F51FC" w:rsidRPr="000F51FC" w:rsidRDefault="00CA1E71" w:rsidP="2D83103F">
      <w:pPr>
        <w:rPr>
          <w:noProof/>
          <w:lang w:val="en-US" w:eastAsia="fr-FR"/>
        </w:rPr>
      </w:pPr>
      <w:r w:rsidRPr="2D83103F">
        <w:rPr>
          <w:b/>
          <w:bCs/>
          <w:noProof/>
          <w:lang w:val="en-US" w:eastAsia="fr-FR"/>
        </w:rPr>
        <w:t>A</w:t>
      </w:r>
      <w:r w:rsidR="000F51FC" w:rsidRPr="2D83103F">
        <w:rPr>
          <w:b/>
          <w:bCs/>
          <w:noProof/>
          <w:lang w:val="en-US" w:eastAsia="fr-FR"/>
        </w:rPr>
        <w:t xml:space="preserve"> </w:t>
      </w:r>
      <w:r w:rsidRPr="2D83103F">
        <w:rPr>
          <w:b/>
          <w:bCs/>
          <w:noProof/>
          <w:lang w:val="en-US" w:eastAsia="fr-FR"/>
        </w:rPr>
        <w:t xml:space="preserve">draft </w:t>
      </w:r>
      <w:r w:rsidR="00C155CD" w:rsidRPr="2D83103F">
        <w:rPr>
          <w:b/>
          <w:bCs/>
          <w:noProof/>
          <w:lang w:val="en-US" w:eastAsia="fr-FR"/>
        </w:rPr>
        <w:t>law</w:t>
      </w:r>
      <w:r w:rsidRPr="2D83103F">
        <w:rPr>
          <w:b/>
          <w:bCs/>
          <w:noProof/>
          <w:lang w:val="en-US" w:eastAsia="fr-FR"/>
        </w:rPr>
        <w:t xml:space="preserve"> presented by the</w:t>
      </w:r>
      <w:r w:rsidR="00C77B2B" w:rsidRPr="2D83103F">
        <w:rPr>
          <w:b/>
          <w:bCs/>
          <w:noProof/>
          <w:lang w:val="en-US" w:eastAsia="fr-FR"/>
        </w:rPr>
        <w:t xml:space="preserve"> new</w:t>
      </w:r>
      <w:r w:rsidRPr="2D83103F">
        <w:rPr>
          <w:b/>
          <w:bCs/>
          <w:noProof/>
          <w:lang w:val="en-US" w:eastAsia="fr-FR"/>
        </w:rPr>
        <w:t xml:space="preserve"> </w:t>
      </w:r>
      <w:r w:rsidR="00C77B2B" w:rsidRPr="2D83103F">
        <w:rPr>
          <w:b/>
          <w:bCs/>
          <w:noProof/>
          <w:lang w:val="en-US" w:eastAsia="fr-FR"/>
        </w:rPr>
        <w:t>G</w:t>
      </w:r>
      <w:r w:rsidR="000F51FC" w:rsidRPr="2D83103F">
        <w:rPr>
          <w:b/>
          <w:bCs/>
          <w:noProof/>
          <w:lang w:val="en-US" w:eastAsia="fr-FR"/>
        </w:rPr>
        <w:t xml:space="preserve">overnment </w:t>
      </w:r>
      <w:r w:rsidR="00986A9A" w:rsidRPr="2D83103F">
        <w:rPr>
          <w:b/>
          <w:bCs/>
          <w:noProof/>
          <w:lang w:val="en-US" w:eastAsia="fr-FR"/>
        </w:rPr>
        <w:t xml:space="preserve">which would abolish license fees for </w:t>
      </w:r>
      <w:r w:rsidR="000F51FC" w:rsidRPr="2D83103F">
        <w:rPr>
          <w:b/>
          <w:bCs/>
          <w:noProof/>
          <w:lang w:val="en-US" w:eastAsia="fr-FR"/>
        </w:rPr>
        <w:t xml:space="preserve">public service media </w:t>
      </w:r>
      <w:r w:rsidR="00F50088">
        <w:rPr>
          <w:b/>
          <w:bCs/>
          <w:noProof/>
          <w:lang w:val="en-US" w:eastAsia="fr-FR"/>
        </w:rPr>
        <w:t xml:space="preserve">has </w:t>
      </w:r>
      <w:r w:rsidR="00986A9A" w:rsidRPr="2D83103F">
        <w:rPr>
          <w:b/>
          <w:bCs/>
          <w:noProof/>
          <w:lang w:val="en-US" w:eastAsia="fr-FR"/>
        </w:rPr>
        <w:t>raise</w:t>
      </w:r>
      <w:r w:rsidR="00F50088">
        <w:rPr>
          <w:b/>
          <w:bCs/>
          <w:noProof/>
          <w:lang w:val="en-US" w:eastAsia="fr-FR"/>
        </w:rPr>
        <w:t>d</w:t>
      </w:r>
      <w:r w:rsidR="00A8121B" w:rsidRPr="2D83103F">
        <w:rPr>
          <w:b/>
          <w:bCs/>
          <w:noProof/>
          <w:lang w:val="en-US" w:eastAsia="fr-FR"/>
        </w:rPr>
        <w:t xml:space="preserve"> </w:t>
      </w:r>
      <w:r w:rsidR="000F51FC" w:rsidRPr="2D83103F">
        <w:rPr>
          <w:b/>
          <w:bCs/>
          <w:noProof/>
          <w:lang w:val="en-US" w:eastAsia="fr-FR"/>
        </w:rPr>
        <w:t xml:space="preserve">concerns. </w:t>
      </w:r>
      <w:r w:rsidR="000F51FC" w:rsidRPr="2D83103F">
        <w:rPr>
          <w:noProof/>
          <w:lang w:val="en-US" w:eastAsia="fr-FR"/>
        </w:rPr>
        <w:t>Last year’s report noted that the 2025 amendments to the Act on Czech Television and the Act on Czech Radio and other related acts had positively reformed the financing system to ensure sustainability of public service media.</w:t>
      </w:r>
      <w:r w:rsidR="00F117C1" w:rsidRPr="2D83103F">
        <w:rPr>
          <w:noProof/>
          <w:lang w:val="en-US" w:eastAsia="fr-FR"/>
        </w:rPr>
        <w:t xml:space="preserve"> </w:t>
      </w:r>
      <w:r w:rsidR="00E5644C" w:rsidRPr="2D83103F">
        <w:rPr>
          <w:noProof/>
          <w:lang w:val="en-US" w:eastAsia="fr-FR"/>
        </w:rPr>
        <w:t>On 15 June 2026, t</w:t>
      </w:r>
      <w:r w:rsidR="00F117C1" w:rsidRPr="2D83103F">
        <w:rPr>
          <w:noProof/>
          <w:lang w:val="en-US" w:eastAsia="fr-FR"/>
        </w:rPr>
        <w:t>he</w:t>
      </w:r>
      <w:r w:rsidR="00E5644C" w:rsidRPr="2D83103F">
        <w:rPr>
          <w:noProof/>
          <w:lang w:val="en-US" w:eastAsia="fr-FR"/>
        </w:rPr>
        <w:t xml:space="preserve"> </w:t>
      </w:r>
      <w:r w:rsidR="0002206A" w:rsidRPr="2D83103F">
        <w:rPr>
          <w:noProof/>
          <w:lang w:val="en-US" w:eastAsia="fr-FR"/>
        </w:rPr>
        <w:t xml:space="preserve">new </w:t>
      </w:r>
      <w:r w:rsidR="00702B93" w:rsidRPr="2D83103F">
        <w:rPr>
          <w:noProof/>
          <w:lang w:val="en-US" w:eastAsia="fr-FR"/>
        </w:rPr>
        <w:t>G</w:t>
      </w:r>
      <w:r w:rsidR="0002206A" w:rsidRPr="2D83103F">
        <w:rPr>
          <w:noProof/>
          <w:lang w:val="en-US" w:eastAsia="fr-FR"/>
        </w:rPr>
        <w:t>overnment</w:t>
      </w:r>
      <w:r w:rsidR="00265223" w:rsidRPr="2D83103F">
        <w:rPr>
          <w:noProof/>
          <w:lang w:val="en-US" w:eastAsia="fr-FR"/>
        </w:rPr>
        <w:t xml:space="preserve"> </w:t>
      </w:r>
      <w:r w:rsidR="00622CB8" w:rsidRPr="2D83103F">
        <w:rPr>
          <w:noProof/>
          <w:lang w:val="en-US" w:eastAsia="fr-FR"/>
        </w:rPr>
        <w:t>a</w:t>
      </w:r>
      <w:r w:rsidR="0002206A" w:rsidRPr="2D83103F">
        <w:rPr>
          <w:noProof/>
          <w:lang w:val="en-US" w:eastAsia="fr-FR"/>
        </w:rPr>
        <w:t>greed on</w:t>
      </w:r>
      <w:r w:rsidR="00622CB8" w:rsidRPr="2D83103F">
        <w:rPr>
          <w:noProof/>
          <w:lang w:val="en-US" w:eastAsia="fr-FR"/>
        </w:rPr>
        <w:t xml:space="preserve"> a draft </w:t>
      </w:r>
      <w:r w:rsidR="0056124E" w:rsidRPr="2D83103F">
        <w:rPr>
          <w:noProof/>
          <w:lang w:val="en-US" w:eastAsia="fr-FR"/>
        </w:rPr>
        <w:t>law</w:t>
      </w:r>
      <w:r w:rsidR="00622CB8" w:rsidRPr="2D83103F">
        <w:rPr>
          <w:noProof/>
          <w:lang w:val="en-US" w:eastAsia="fr-FR"/>
        </w:rPr>
        <w:t xml:space="preserve"> for the amendment of the Act on Czech TV and the Act on Czech Radio which would, if adopted, abolish licensing fees for public service media</w:t>
      </w:r>
      <w:r w:rsidR="003B53CF" w:rsidRPr="2D83103F">
        <w:rPr>
          <w:noProof/>
          <w:lang w:val="en-US" w:eastAsia="fr-FR"/>
        </w:rPr>
        <w:t>, leading to</w:t>
      </w:r>
      <w:r w:rsidR="00956A4B" w:rsidRPr="2D83103F">
        <w:rPr>
          <w:noProof/>
          <w:lang w:val="en-US" w:eastAsia="fr-FR"/>
        </w:rPr>
        <w:t xml:space="preserve"> </w:t>
      </w:r>
      <w:r w:rsidR="003B53CF" w:rsidRPr="2D83103F">
        <w:rPr>
          <w:noProof/>
          <w:lang w:val="en-US" w:eastAsia="fr-FR"/>
        </w:rPr>
        <w:t>circa</w:t>
      </w:r>
      <w:r w:rsidR="00B34417" w:rsidRPr="2D83103F">
        <w:rPr>
          <w:noProof/>
          <w:lang w:val="en-US" w:eastAsia="fr-FR"/>
        </w:rPr>
        <w:t xml:space="preserve"> </w:t>
      </w:r>
      <w:r w:rsidR="006E4B4B" w:rsidRPr="2D83103F">
        <w:rPr>
          <w:noProof/>
          <w:lang w:val="en-US" w:eastAsia="fr-FR"/>
        </w:rPr>
        <w:t>15% less revenue</w:t>
      </w:r>
      <w:r w:rsidR="00AC300B" w:rsidRPr="2D83103F">
        <w:rPr>
          <w:noProof/>
          <w:lang w:val="en-US" w:eastAsia="fr-FR"/>
        </w:rPr>
        <w:t xml:space="preserve"> overall</w:t>
      </w:r>
      <w:r w:rsidR="00B34417" w:rsidRPr="2D83103F">
        <w:rPr>
          <w:noProof/>
          <w:lang w:val="en-US" w:eastAsia="fr-FR"/>
        </w:rPr>
        <w:t xml:space="preserve"> as of 2027</w:t>
      </w:r>
      <w:r w:rsidR="006E4B4B" w:rsidRPr="2D83103F">
        <w:rPr>
          <w:noProof/>
          <w:lang w:val="en-US" w:eastAsia="fr-FR"/>
        </w:rPr>
        <w:t xml:space="preserve"> </w:t>
      </w:r>
      <w:r w:rsidR="00B34417" w:rsidRPr="2D83103F">
        <w:rPr>
          <w:noProof/>
          <w:lang w:val="en-US" w:eastAsia="fr-FR"/>
        </w:rPr>
        <w:t>compared to</w:t>
      </w:r>
      <w:r w:rsidR="00AC300B" w:rsidRPr="2D83103F">
        <w:rPr>
          <w:noProof/>
          <w:lang w:val="en-US" w:eastAsia="fr-FR"/>
        </w:rPr>
        <w:t xml:space="preserve"> revenues for </w:t>
      </w:r>
      <w:r w:rsidR="0019542A" w:rsidRPr="2D83103F">
        <w:rPr>
          <w:noProof/>
          <w:lang w:val="en-US" w:eastAsia="fr-FR"/>
        </w:rPr>
        <w:t>2026</w:t>
      </w:r>
      <w:r w:rsidR="00AC300B" w:rsidRPr="2D83103F">
        <w:rPr>
          <w:noProof/>
          <w:lang w:val="en-US" w:eastAsia="fr-FR"/>
        </w:rPr>
        <w:t>.</w:t>
      </w:r>
      <w:r w:rsidR="00B34417" w:rsidRPr="2D83103F">
        <w:rPr>
          <w:noProof/>
          <w:lang w:val="en-US" w:eastAsia="fr-FR"/>
        </w:rPr>
        <w:t xml:space="preserve"> </w:t>
      </w:r>
      <w:r w:rsidR="000F51FC" w:rsidRPr="2D83103F">
        <w:rPr>
          <w:noProof/>
          <w:lang w:val="en-US" w:eastAsia="fr-FR"/>
        </w:rPr>
        <w:t xml:space="preserve">Concerns that </w:t>
      </w:r>
      <w:r w:rsidR="00AC300B" w:rsidRPr="2D83103F">
        <w:rPr>
          <w:noProof/>
          <w:lang w:val="en-US" w:eastAsia="fr-FR"/>
        </w:rPr>
        <w:t xml:space="preserve">these </w:t>
      </w:r>
      <w:r w:rsidR="009F696E" w:rsidRPr="2D83103F">
        <w:rPr>
          <w:noProof/>
          <w:lang w:val="en-US" w:eastAsia="fr-FR"/>
        </w:rPr>
        <w:t xml:space="preserve">changes will seriously </w:t>
      </w:r>
      <w:r w:rsidR="00900718" w:rsidRPr="000F51FC">
        <w:rPr>
          <w:noProof/>
          <w:szCs w:val="24"/>
          <w:lang w:val="en-US" w:eastAsia="fr-FR"/>
        </w:rPr>
        <w:t xml:space="preserve">imperil </w:t>
      </w:r>
      <w:r w:rsidR="00900718">
        <w:rPr>
          <w:noProof/>
          <w:szCs w:val="24"/>
          <w:lang w:val="en-US" w:eastAsia="fr-FR"/>
        </w:rPr>
        <w:t>the</w:t>
      </w:r>
      <w:r w:rsidR="00900718" w:rsidRPr="000F51FC">
        <w:rPr>
          <w:noProof/>
          <w:szCs w:val="24"/>
          <w:lang w:val="en-US" w:eastAsia="fr-FR"/>
        </w:rPr>
        <w:t xml:space="preserve"> independence</w:t>
      </w:r>
      <w:r w:rsidR="00900718">
        <w:rPr>
          <w:noProof/>
          <w:szCs w:val="24"/>
          <w:lang w:val="en-US" w:eastAsia="fr-FR"/>
        </w:rPr>
        <w:t xml:space="preserve"> of public service media and capacity to carry out its tasks,</w:t>
      </w:r>
      <w:r w:rsidR="00900718" w:rsidRPr="000F51FC">
        <w:rPr>
          <w:noProof/>
          <w:szCs w:val="24"/>
          <w:lang w:val="en-US" w:eastAsia="fr-FR"/>
        </w:rPr>
        <w:t xml:space="preserve"> </w:t>
      </w:r>
      <w:r w:rsidR="000F51FC" w:rsidRPr="2D83103F">
        <w:rPr>
          <w:noProof/>
          <w:lang w:val="en-US" w:eastAsia="fr-FR"/>
        </w:rPr>
        <w:t>have been voiced by stakeholders and prompted mass protests in the country from March to May 2026</w:t>
      </w:r>
      <w:r w:rsidR="00900718" w:rsidRPr="000F51FC">
        <w:rPr>
          <w:noProof/>
          <w:szCs w:val="24"/>
          <w:vertAlign w:val="superscript"/>
          <w:lang w:val="en-US" w:eastAsia="fr-FR"/>
        </w:rPr>
        <w:footnoteReference w:id="111"/>
      </w:r>
      <w:r w:rsidR="000F51FC" w:rsidRPr="2D83103F">
        <w:rPr>
          <w:noProof/>
          <w:lang w:val="en-US" w:eastAsia="fr-FR"/>
        </w:rPr>
        <w:t>. The Media Pluralism Monitor (MPM) for Czechia considers that public service media has come under renewed political pressure, resulting in intensified efforts to influence editorial direction and personnel decisions, raising its risk level to medium-low</w:t>
      </w:r>
      <w:r w:rsidR="000F51FC" w:rsidRPr="2D83103F">
        <w:rPr>
          <w:noProof/>
          <w:vertAlign w:val="superscript"/>
          <w:lang w:val="en-US" w:eastAsia="fr-FR"/>
        </w:rPr>
        <w:footnoteReference w:id="112"/>
      </w:r>
      <w:r w:rsidR="000F51FC" w:rsidRPr="2D83103F">
        <w:rPr>
          <w:noProof/>
          <w:lang w:val="en-US" w:eastAsia="fr-FR"/>
        </w:rPr>
        <w:t xml:space="preserve">. </w:t>
      </w:r>
      <w:r w:rsidR="00F12486" w:rsidRPr="2D83103F">
        <w:rPr>
          <w:noProof/>
          <w:lang w:eastAsia="fr-FR"/>
        </w:rPr>
        <w:t>Alongside other aspects of the media market, industry stakeholders</w:t>
      </w:r>
      <w:r w:rsidR="000F51FC" w:rsidRPr="2D83103F">
        <w:rPr>
          <w:noProof/>
          <w:lang w:val="en-US" w:eastAsia="fr-FR"/>
        </w:rPr>
        <w:t xml:space="preserve"> emphasise that diminishing advertising revenues, the lack of compensation for the use of media content published on online platforms, and the impact of Artificial Intelligence have become major challenges for the viability of media companies</w:t>
      </w:r>
      <w:r w:rsidR="00566CCC" w:rsidRPr="000F51FC">
        <w:rPr>
          <w:noProof/>
          <w:szCs w:val="24"/>
          <w:vertAlign w:val="superscript"/>
          <w:lang w:val="en-US" w:eastAsia="fr-FR"/>
        </w:rPr>
        <w:footnoteReference w:id="113"/>
      </w:r>
      <w:r w:rsidR="00566CCC" w:rsidRPr="2D83103F">
        <w:rPr>
          <w:noProof/>
          <w:lang w:val="en-US" w:eastAsia="fr-FR"/>
        </w:rPr>
        <w:t>.</w:t>
      </w:r>
    </w:p>
    <w:p w14:paraId="75786A86" w14:textId="1650770E" w:rsidR="000F51FC" w:rsidRPr="000F51FC" w:rsidRDefault="000F51FC" w:rsidP="2CF1EABA">
      <w:pPr>
        <w:rPr>
          <w:noProof/>
          <w:lang w:val="en-IE" w:eastAsia="fr-FR"/>
        </w:rPr>
      </w:pPr>
      <w:r w:rsidRPr="2CF1EABA">
        <w:rPr>
          <w:b/>
          <w:bCs/>
          <w:noProof/>
          <w:lang w:val="en-IE" w:eastAsia="fr-FR"/>
        </w:rPr>
        <w:t>Pending the adoption of draft legislation, significant challenges persist in relation to transparency of media ownership</w:t>
      </w:r>
      <w:r w:rsidRPr="2CF1EABA">
        <w:rPr>
          <w:b/>
          <w:bCs/>
          <w:noProof/>
          <w:vertAlign w:val="superscript"/>
          <w:lang w:val="en-IE" w:eastAsia="fr-FR"/>
        </w:rPr>
        <w:footnoteReference w:id="114"/>
      </w:r>
      <w:r w:rsidRPr="2CF1EABA">
        <w:rPr>
          <w:noProof/>
          <w:lang w:val="en-IE" w:eastAsia="fr-FR"/>
        </w:rPr>
        <w:t>. The draft Law on Media Services is expected to designate an authority responsible for the maintenance and monitoring of a media ownership transparency database.</w:t>
      </w:r>
      <w:r w:rsidR="547F664F" w:rsidRPr="2CF1EABA">
        <w:rPr>
          <w:noProof/>
          <w:lang w:val="en-IE" w:eastAsia="fr-FR"/>
        </w:rPr>
        <w:t xml:space="preserve"> </w:t>
      </w:r>
      <w:r w:rsidR="62057FBF" w:rsidRPr="2CF1EABA">
        <w:rPr>
          <w:noProof/>
          <w:lang w:val="en-IE" w:eastAsia="fr-FR"/>
        </w:rPr>
        <w:t>It also contains a</w:t>
      </w:r>
      <w:r w:rsidR="32C64EE9" w:rsidRPr="2CF1EABA">
        <w:rPr>
          <w:noProof/>
          <w:lang w:val="en-IE" w:eastAsia="fr-FR"/>
        </w:rPr>
        <w:t>n</w:t>
      </w:r>
      <w:r w:rsidR="62057FBF" w:rsidRPr="2CF1EABA">
        <w:rPr>
          <w:noProof/>
          <w:lang w:val="en-IE" w:eastAsia="fr-FR"/>
        </w:rPr>
        <w:t xml:space="preserve"> exemption from </w:t>
      </w:r>
      <w:r w:rsidR="21E2DFBD" w:rsidRPr="2CF1EABA">
        <w:rPr>
          <w:noProof/>
          <w:lang w:val="en-IE" w:eastAsia="fr-FR"/>
        </w:rPr>
        <w:t>limits to access</w:t>
      </w:r>
      <w:r w:rsidR="0CF4603A" w:rsidRPr="2CF1EABA">
        <w:rPr>
          <w:noProof/>
          <w:lang w:val="en-IE" w:eastAsia="fr-FR"/>
        </w:rPr>
        <w:t xml:space="preserve"> to the beneficial owner database</w:t>
      </w:r>
      <w:r w:rsidR="15AB6B76" w:rsidRPr="2CF1EABA">
        <w:rPr>
          <w:noProof/>
          <w:lang w:val="en-IE" w:eastAsia="fr-FR"/>
        </w:rPr>
        <w:t xml:space="preserve"> </w:t>
      </w:r>
      <w:r w:rsidR="62057FBF" w:rsidRPr="2CF1EABA">
        <w:rPr>
          <w:noProof/>
          <w:lang w:val="en-IE" w:eastAsia="fr-FR"/>
        </w:rPr>
        <w:t>for journalistic and other legitimate purposes</w:t>
      </w:r>
      <w:r w:rsidR="00AD1073" w:rsidRPr="2CF1EABA">
        <w:rPr>
          <w:rStyle w:val="FootnoteReference"/>
          <w:noProof/>
          <w:lang w:val="en-IE" w:eastAsia="fr-FR"/>
        </w:rPr>
        <w:footnoteReference w:id="115"/>
      </w:r>
      <w:r w:rsidR="15AB6B76" w:rsidRPr="2CF1EABA">
        <w:rPr>
          <w:noProof/>
          <w:lang w:val="en-IE" w:eastAsia="fr-FR"/>
        </w:rPr>
        <w:t>.</w:t>
      </w:r>
      <w:r w:rsidRPr="2CF1EABA">
        <w:rPr>
          <w:noProof/>
          <w:lang w:val="en-IE" w:eastAsia="fr-FR"/>
        </w:rPr>
        <w:t xml:space="preserve"> However, pending the enactment of this legislation, no fully functional transparency register has been formally established</w:t>
      </w:r>
      <w:r w:rsidRPr="2CF1EABA">
        <w:rPr>
          <w:noProof/>
          <w:vertAlign w:val="superscript"/>
          <w:lang w:val="en-IE" w:eastAsia="fr-FR"/>
        </w:rPr>
        <w:footnoteReference w:id="116"/>
      </w:r>
      <w:r w:rsidRPr="2CF1EABA">
        <w:rPr>
          <w:noProof/>
          <w:lang w:val="en-IE" w:eastAsia="fr-FR"/>
        </w:rPr>
        <w:t>. The MPM 2026 has increased its risk level from high-risk to very high risk for this area in the light of the fact that the Government has limited public online access to the register to authorities and selected professionals, while</w:t>
      </w:r>
      <w:r w:rsidR="6197215F" w:rsidRPr="2CF1EABA">
        <w:rPr>
          <w:noProof/>
          <w:lang w:val="en-IE" w:eastAsia="fr-FR"/>
        </w:rPr>
        <w:t>, pending the enactment of the draft law,</w:t>
      </w:r>
      <w:r w:rsidRPr="2CF1EABA">
        <w:rPr>
          <w:noProof/>
          <w:lang w:val="en-IE" w:eastAsia="fr-FR"/>
        </w:rPr>
        <w:t xml:space="preserve"> all other individuals must demonstrate legitimate interest through court procedures,</w:t>
      </w:r>
      <w:r w:rsidRPr="2CF1EABA">
        <w:rPr>
          <w:noProof/>
          <w:vertAlign w:val="superscript"/>
          <w:lang w:val="en-IE" w:eastAsia="fr-FR"/>
        </w:rPr>
        <w:footnoteReference w:id="117"/>
      </w:r>
      <w:r w:rsidRPr="2CF1EABA">
        <w:rPr>
          <w:noProof/>
          <w:lang w:val="en-IE" w:eastAsia="fr-FR"/>
        </w:rPr>
        <w:t xml:space="preserve"> . On this basis, no further progress has been made in relation to the recommendation. </w:t>
      </w:r>
    </w:p>
    <w:p w14:paraId="279B954F" w14:textId="042A3FDE" w:rsidR="000F51FC" w:rsidRPr="000F51FC" w:rsidRDefault="000F51FC" w:rsidP="000F51FC">
      <w:pPr>
        <w:rPr>
          <w:noProof/>
          <w:szCs w:val="24"/>
          <w:lang w:val="en-IE" w:eastAsia="fr-FR"/>
        </w:rPr>
      </w:pPr>
      <w:r w:rsidRPr="000F51FC">
        <w:rPr>
          <w:b/>
          <w:bCs/>
          <w:noProof/>
          <w:szCs w:val="24"/>
          <w:lang w:val="en-IE" w:eastAsia="fr-FR"/>
        </w:rPr>
        <w:t>Journalists continue to face serious verbal threats and harassment.</w:t>
      </w:r>
      <w:r w:rsidRPr="000F51FC">
        <w:rPr>
          <w:noProof/>
          <w:szCs w:val="24"/>
          <w:lang w:val="en-IE" w:eastAsia="fr-FR"/>
        </w:rPr>
        <w:t xml:space="preserve"> Stakeholders continue to point to the prevalence of online harassment and threats against journalists as an ongoing phenomenon in the country</w:t>
      </w:r>
      <w:r w:rsidRPr="000F51FC">
        <w:rPr>
          <w:noProof/>
          <w:szCs w:val="24"/>
          <w:vertAlign w:val="superscript"/>
          <w:lang w:val="en-IE" w:eastAsia="fr-FR"/>
        </w:rPr>
        <w:footnoteReference w:id="118"/>
      </w:r>
      <w:r w:rsidRPr="000F51FC">
        <w:rPr>
          <w:noProof/>
          <w:szCs w:val="24"/>
          <w:lang w:val="en-IE" w:eastAsia="fr-FR"/>
        </w:rPr>
        <w:t>. The Safe Journalism Platform – which establishes a non-governmental online environment where journalists can report attacks and where they can access confidential consultation and legal assistance – was set up in September 2025</w:t>
      </w:r>
      <w:r w:rsidRPr="000F51FC">
        <w:rPr>
          <w:noProof/>
          <w:szCs w:val="24"/>
          <w:vertAlign w:val="superscript"/>
          <w:lang w:val="en-IE" w:eastAsia="fr-FR"/>
        </w:rPr>
        <w:footnoteReference w:id="119"/>
      </w:r>
      <w:r w:rsidRPr="000F51FC">
        <w:rPr>
          <w:noProof/>
          <w:szCs w:val="24"/>
          <w:lang w:val="en-IE" w:eastAsia="fr-FR"/>
        </w:rPr>
        <w:t xml:space="preserve">. </w:t>
      </w:r>
      <w:r w:rsidR="009A6E4D">
        <w:rPr>
          <w:noProof/>
          <w:szCs w:val="24"/>
          <w:lang w:val="en-IE" w:eastAsia="fr-FR"/>
        </w:rPr>
        <w:t>A d</w:t>
      </w:r>
      <w:r w:rsidRPr="000F51FC">
        <w:rPr>
          <w:noProof/>
          <w:szCs w:val="24"/>
          <w:lang w:val="en-IE" w:eastAsia="fr-FR"/>
        </w:rPr>
        <w:t>raft amendment to the Code of Criminal Procedure which would provide additional protection in terms of journalistic sources and confidential communications, remain</w:t>
      </w:r>
      <w:r w:rsidR="009A6E4D">
        <w:rPr>
          <w:noProof/>
          <w:szCs w:val="24"/>
          <w:lang w:val="en-IE" w:eastAsia="fr-FR"/>
        </w:rPr>
        <w:t>s</w:t>
      </w:r>
      <w:r w:rsidRPr="000F51FC">
        <w:rPr>
          <w:noProof/>
          <w:szCs w:val="24"/>
          <w:lang w:val="en-IE" w:eastAsia="fr-FR"/>
        </w:rPr>
        <w:t xml:space="preserve"> pending. Stakeholders point to the use of strategic lawsuits against public participation (SLAPPs) by politicians as an ongoing issue of concern</w:t>
      </w:r>
      <w:r w:rsidRPr="000F51FC">
        <w:rPr>
          <w:noProof/>
          <w:szCs w:val="24"/>
          <w:vertAlign w:val="superscript"/>
          <w:lang w:val="en-IE" w:eastAsia="fr-FR"/>
        </w:rPr>
        <w:footnoteReference w:id="120"/>
      </w:r>
      <w:r w:rsidRPr="000F51FC">
        <w:rPr>
          <w:noProof/>
          <w:szCs w:val="24"/>
          <w:lang w:val="en-IE" w:eastAsia="fr-FR"/>
        </w:rPr>
        <w:t>. A draft law transposing the anti-SLAPP Directive which would cover both cross-border and domestic SLAPP cases is currently before Parliament. The MPM 2026 confirms its medium-low risk analysis for this area highlighting the fact that working conditions continue to be a concern and that the frequency of online attacks appears to be increasing</w:t>
      </w:r>
      <w:r w:rsidRPr="000F51FC">
        <w:rPr>
          <w:noProof/>
          <w:szCs w:val="24"/>
          <w:vertAlign w:val="superscript"/>
          <w:lang w:val="en-IE" w:eastAsia="fr-FR"/>
        </w:rPr>
        <w:footnoteReference w:id="121"/>
      </w:r>
      <w:r w:rsidRPr="000F51FC">
        <w:rPr>
          <w:noProof/>
          <w:szCs w:val="24"/>
          <w:lang w:val="en-IE" w:eastAsia="fr-FR"/>
        </w:rPr>
        <w:t xml:space="preserve">. The Council of Europe Platform to promote the protection of journalism and the safety of journalists received two new alerts since the publication of the last rule of law report, concerning the smearing of a journalist and the planned reforms to public service media mentioned above </w:t>
      </w:r>
      <w:r w:rsidRPr="000F51FC">
        <w:rPr>
          <w:noProof/>
          <w:szCs w:val="24"/>
          <w:vertAlign w:val="superscript"/>
          <w:lang w:val="en-IE" w:eastAsia="fr-FR"/>
        </w:rPr>
        <w:footnoteReference w:id="122"/>
      </w:r>
      <w:r w:rsidRPr="000F51FC">
        <w:rPr>
          <w:noProof/>
          <w:szCs w:val="24"/>
          <w:lang w:val="en-IE" w:eastAsia="fr-FR"/>
        </w:rPr>
        <w:t xml:space="preserve">. The Media Freedom Rapid Response (MFRR) mechanism </w:t>
      </w:r>
      <w:r w:rsidRPr="00B66D9F">
        <w:rPr>
          <w:noProof/>
          <w:szCs w:val="24"/>
          <w:lang w:val="en-IE" w:eastAsia="fr-FR"/>
        </w:rPr>
        <w:t xml:space="preserve">flagged </w:t>
      </w:r>
      <w:r w:rsidR="002F6F1A" w:rsidRPr="00B66D9F">
        <w:rPr>
          <w:noProof/>
          <w:szCs w:val="24"/>
          <w:lang w:val="en-IE" w:eastAsia="fr-FR"/>
        </w:rPr>
        <w:t>27</w:t>
      </w:r>
      <w:r w:rsidRPr="00B66D9F">
        <w:rPr>
          <w:noProof/>
          <w:szCs w:val="24"/>
          <w:lang w:val="en-IE" w:eastAsia="fr-FR"/>
        </w:rPr>
        <w:t xml:space="preserve"> alerts, the large</w:t>
      </w:r>
      <w:r w:rsidRPr="000F51FC">
        <w:rPr>
          <w:noProof/>
          <w:szCs w:val="24"/>
          <w:lang w:val="en-IE" w:eastAsia="fr-FR"/>
        </w:rPr>
        <w:t xml:space="preserve"> majority of which concern cases of insults, delegitimization, threats of SLAPP cases by politicians or political ads targeting journalists</w:t>
      </w:r>
      <w:r w:rsidRPr="000F51FC">
        <w:rPr>
          <w:noProof/>
          <w:szCs w:val="24"/>
          <w:vertAlign w:val="superscript"/>
          <w:lang w:val="en-IE" w:eastAsia="fr-FR"/>
        </w:rPr>
        <w:footnoteReference w:id="123"/>
      </w:r>
      <w:r w:rsidRPr="000F51FC">
        <w:rPr>
          <w:noProof/>
          <w:szCs w:val="24"/>
          <w:lang w:val="en-IE" w:eastAsia="fr-FR"/>
        </w:rPr>
        <w:t>.</w:t>
      </w:r>
    </w:p>
    <w:p w14:paraId="16BBD0A4" w14:textId="77777777" w:rsidR="000F51FC" w:rsidRPr="000F51FC" w:rsidRDefault="000F51FC" w:rsidP="000F51FC">
      <w:pPr>
        <w:keepNext/>
        <w:numPr>
          <w:ilvl w:val="0"/>
          <w:numId w:val="30"/>
        </w:numPr>
        <w:spacing w:after="160" w:line="279" w:lineRule="auto"/>
        <w:jc w:val="left"/>
        <w:outlineLvl w:val="0"/>
        <w:rPr>
          <w:noProof/>
          <w:szCs w:val="24"/>
          <w:u w:val="single"/>
          <w:lang w:val="en-IE" w:eastAsia="fr-FR"/>
        </w:rPr>
      </w:pPr>
      <w:r w:rsidRPr="000F51FC">
        <w:rPr>
          <w:b/>
          <w:smallCaps/>
          <w:noProof/>
          <w:szCs w:val="24"/>
          <w:u w:val="single"/>
          <w:lang w:val="en-IE" w:eastAsia="fr-FR"/>
        </w:rPr>
        <w:t>Other Institutional Issues related to Checks and Balances</w:t>
      </w:r>
    </w:p>
    <w:p w14:paraId="3E3FEE5B" w14:textId="687F7974" w:rsidR="000F51FC" w:rsidRPr="000F51FC" w:rsidRDefault="000F51FC" w:rsidP="000F51FC">
      <w:pPr>
        <w:rPr>
          <w:rFonts w:eastAsia="Calibri"/>
          <w:noProof/>
          <w:szCs w:val="22"/>
          <w:lang w:val="en-IE" w:eastAsia="en-US"/>
        </w:rPr>
      </w:pPr>
      <w:r w:rsidRPr="000F51FC">
        <w:rPr>
          <w:b/>
          <w:bCs/>
          <w:noProof/>
          <w:szCs w:val="22"/>
          <w:lang w:val="en-IE" w:eastAsia="fr-FR"/>
        </w:rPr>
        <w:t xml:space="preserve">The electronic platform for drafting, commenting on and promulgating legislation is progressively becoming operational. </w:t>
      </w:r>
      <w:r w:rsidRPr="000F51FC">
        <w:rPr>
          <w:rFonts w:eastAsia="Calibri"/>
          <w:noProof/>
          <w:szCs w:val="22"/>
          <w:lang w:val="en-IE" w:eastAsia="en-US"/>
        </w:rPr>
        <w:t>The rollout of the eLegislation platform began in 2024</w:t>
      </w:r>
      <w:r w:rsidR="00294B65">
        <w:rPr>
          <w:rFonts w:eastAsia="Calibri"/>
          <w:noProof/>
          <w:szCs w:val="22"/>
          <w:lang w:val="en-IE" w:eastAsia="en-US"/>
        </w:rPr>
        <w:t xml:space="preserve"> for international law instruments</w:t>
      </w:r>
      <w:r w:rsidRPr="000F51FC">
        <w:rPr>
          <w:rFonts w:eastAsia="Calibri"/>
          <w:noProof/>
          <w:szCs w:val="22"/>
          <w:lang w:val="en-IE" w:eastAsia="en-US"/>
        </w:rPr>
        <w:t>, since 2025 its use has been mandatory</w:t>
      </w:r>
      <w:r w:rsidR="00E37100">
        <w:rPr>
          <w:rFonts w:eastAsia="Calibri"/>
          <w:noProof/>
          <w:szCs w:val="22"/>
          <w:lang w:val="en-IE" w:eastAsia="en-US"/>
        </w:rPr>
        <w:t xml:space="preserve"> for drafting of </w:t>
      </w:r>
      <w:r w:rsidR="007458F5">
        <w:rPr>
          <w:rFonts w:eastAsia="Calibri"/>
          <w:noProof/>
          <w:szCs w:val="22"/>
          <w:lang w:val="en-IE" w:eastAsia="en-US"/>
        </w:rPr>
        <w:t>implementing regulations</w:t>
      </w:r>
      <w:r w:rsidR="00235654">
        <w:rPr>
          <w:rFonts w:eastAsia="Calibri"/>
          <w:noProof/>
          <w:szCs w:val="22"/>
          <w:lang w:val="en-IE" w:eastAsia="en-US"/>
        </w:rPr>
        <w:t xml:space="preserve">, and since 2026 for new </w:t>
      </w:r>
      <w:r w:rsidR="005963D5">
        <w:rPr>
          <w:rFonts w:eastAsia="Calibri"/>
          <w:noProof/>
          <w:szCs w:val="22"/>
          <w:lang w:val="en-IE" w:eastAsia="en-US"/>
        </w:rPr>
        <w:t>ordinary and constitutional laws</w:t>
      </w:r>
      <w:r w:rsidR="00614A17">
        <w:rPr>
          <w:rFonts w:eastAsia="Calibri"/>
          <w:noProof/>
          <w:szCs w:val="22"/>
          <w:lang w:val="en-IE" w:eastAsia="en-US"/>
        </w:rPr>
        <w:t>, the Constitutional Court decisions, and the Senate legislation.</w:t>
      </w:r>
      <w:r w:rsidRPr="000F51FC">
        <w:rPr>
          <w:rFonts w:eastAsia="Calibri"/>
          <w:noProof/>
          <w:szCs w:val="22"/>
          <w:vertAlign w:val="superscript"/>
          <w:lang w:val="en-IE" w:eastAsia="en-US"/>
        </w:rPr>
        <w:footnoteReference w:id="124"/>
      </w:r>
      <w:r w:rsidRPr="000F51FC">
        <w:rPr>
          <w:rFonts w:eastAsia="Calibri"/>
          <w:noProof/>
          <w:szCs w:val="22"/>
          <w:lang w:val="en-IE" w:eastAsia="en-US"/>
        </w:rPr>
        <w:t xml:space="preserve">. Deployment of the platform for </w:t>
      </w:r>
      <w:r w:rsidR="00165E0B">
        <w:rPr>
          <w:rFonts w:eastAsia="Calibri"/>
          <w:noProof/>
          <w:szCs w:val="22"/>
          <w:lang w:val="en-IE" w:eastAsia="en-US"/>
        </w:rPr>
        <w:t>amendments to</w:t>
      </w:r>
      <w:r w:rsidR="00AE474D">
        <w:rPr>
          <w:rFonts w:eastAsia="Calibri"/>
          <w:noProof/>
          <w:szCs w:val="22"/>
          <w:lang w:val="en-IE" w:eastAsia="en-US"/>
        </w:rPr>
        <w:t xml:space="preserve"> </w:t>
      </w:r>
      <w:r w:rsidRPr="000F51FC">
        <w:rPr>
          <w:rFonts w:eastAsia="Calibri"/>
          <w:noProof/>
          <w:szCs w:val="22"/>
          <w:lang w:val="en-IE" w:eastAsia="en-US"/>
        </w:rPr>
        <w:t xml:space="preserve">ordinary and constitutional </w:t>
      </w:r>
      <w:r w:rsidR="00AE474D">
        <w:rPr>
          <w:rFonts w:eastAsia="Calibri"/>
          <w:noProof/>
          <w:szCs w:val="22"/>
          <w:lang w:val="en-IE" w:eastAsia="en-US"/>
        </w:rPr>
        <w:t>laws</w:t>
      </w:r>
      <w:r w:rsidRPr="000F51FC">
        <w:rPr>
          <w:rFonts w:eastAsia="Calibri"/>
          <w:noProof/>
          <w:szCs w:val="22"/>
          <w:lang w:val="en-IE" w:eastAsia="en-US"/>
        </w:rPr>
        <w:t xml:space="preserve"> has been postponed until 2027</w:t>
      </w:r>
      <w:r w:rsidR="00AE474D">
        <w:rPr>
          <w:rFonts w:eastAsia="Calibri"/>
          <w:noProof/>
          <w:szCs w:val="22"/>
          <w:lang w:val="en-IE" w:eastAsia="en-US"/>
        </w:rPr>
        <w:t>, with an expected extension to 2029</w:t>
      </w:r>
      <w:r w:rsidRPr="000F51FC">
        <w:rPr>
          <w:rFonts w:eastAsia="Calibri"/>
          <w:noProof/>
          <w:szCs w:val="22"/>
          <w:vertAlign w:val="superscript"/>
          <w:lang w:val="en-IE" w:eastAsia="en-US"/>
        </w:rPr>
        <w:footnoteReference w:id="125"/>
      </w:r>
      <w:r w:rsidRPr="000F51FC">
        <w:rPr>
          <w:rFonts w:eastAsia="Calibri"/>
          <w:noProof/>
          <w:szCs w:val="22"/>
          <w:lang w:val="en-IE" w:eastAsia="en-US"/>
        </w:rPr>
        <w:t>. Methodological materials for participation in the lawmaking process were adopted in 2025 and pilot testing was carried out</w:t>
      </w:r>
      <w:r w:rsidRPr="000F51FC">
        <w:rPr>
          <w:rFonts w:eastAsia="Calibri"/>
          <w:noProof/>
          <w:szCs w:val="22"/>
          <w:vertAlign w:val="superscript"/>
          <w:lang w:val="en-IE" w:eastAsia="en-US"/>
        </w:rPr>
        <w:footnoteReference w:id="126"/>
      </w:r>
      <w:r w:rsidRPr="000F51FC">
        <w:rPr>
          <w:rFonts w:eastAsia="Calibri"/>
          <w:noProof/>
          <w:szCs w:val="22"/>
          <w:lang w:val="en-IE" w:eastAsia="en-US"/>
        </w:rPr>
        <w:t>. Stakeholders welcome the methodology</w:t>
      </w:r>
      <w:r w:rsidRPr="000F51FC">
        <w:rPr>
          <w:rFonts w:eastAsia="Calibri"/>
          <w:noProof/>
          <w:szCs w:val="22"/>
          <w:vertAlign w:val="superscript"/>
          <w:lang w:val="en-IE" w:eastAsia="en-US"/>
        </w:rPr>
        <w:footnoteReference w:id="127"/>
      </w:r>
      <w:r w:rsidRPr="000F51FC">
        <w:rPr>
          <w:rFonts w:eastAsia="Calibri"/>
          <w:noProof/>
          <w:szCs w:val="22"/>
          <w:lang w:val="en-IE" w:eastAsia="en-US"/>
        </w:rPr>
        <w:t xml:space="preserve"> and underline that its actual impact will depend on its implementation by specific governmental bodies</w:t>
      </w:r>
      <w:r w:rsidRPr="000F51FC">
        <w:rPr>
          <w:rFonts w:eastAsia="Calibri"/>
          <w:noProof/>
          <w:szCs w:val="22"/>
          <w:vertAlign w:val="superscript"/>
          <w:lang w:val="en-IE" w:eastAsia="en-US"/>
        </w:rPr>
        <w:footnoteReference w:id="128"/>
      </w:r>
      <w:r w:rsidR="00A03A1D">
        <w:rPr>
          <w:rFonts w:eastAsia="Calibri"/>
          <w:noProof/>
          <w:szCs w:val="22"/>
          <w:lang w:val="en-IE" w:eastAsia="en-US"/>
        </w:rPr>
        <w:t>, while stressing</w:t>
      </w:r>
      <w:r w:rsidR="00A03A1D" w:rsidRPr="00A03A1D">
        <w:rPr>
          <w:rFonts w:eastAsia="Calibri"/>
          <w:noProof/>
          <w:szCs w:val="22"/>
          <w:lang w:val="en-IE" w:eastAsia="en-US"/>
        </w:rPr>
        <w:t xml:space="preserve"> </w:t>
      </w:r>
      <w:r w:rsidR="00A03A1D">
        <w:rPr>
          <w:rFonts w:eastAsia="Calibri"/>
          <w:noProof/>
          <w:szCs w:val="22"/>
          <w:lang w:val="en-IE" w:eastAsia="en-US"/>
        </w:rPr>
        <w:t>the importance of tools for monitoring the compliance of draft laws with fundamental rights and international standards</w:t>
      </w:r>
      <w:r w:rsidR="00A03A1D">
        <w:rPr>
          <w:rStyle w:val="FootnoteReference"/>
          <w:rFonts w:eastAsia="Calibri"/>
          <w:noProof/>
          <w:szCs w:val="22"/>
          <w:lang w:val="en-IE" w:eastAsia="en-US"/>
        </w:rPr>
        <w:footnoteReference w:id="129"/>
      </w:r>
      <w:r w:rsidRPr="000F51FC">
        <w:rPr>
          <w:rFonts w:eastAsia="Calibri"/>
          <w:noProof/>
          <w:szCs w:val="22"/>
          <w:lang w:val="en-IE" w:eastAsia="en-US"/>
        </w:rPr>
        <w:t>.</w:t>
      </w:r>
    </w:p>
    <w:p w14:paraId="35A7FD8A" w14:textId="77777777" w:rsidR="000F51FC" w:rsidRPr="000F51FC" w:rsidRDefault="000F51FC" w:rsidP="000F51FC">
      <w:pPr>
        <w:rPr>
          <w:rFonts w:eastAsia="Calibri"/>
          <w:noProof/>
          <w:szCs w:val="22"/>
          <w:lang w:val="en-IE" w:eastAsia="en-US"/>
        </w:rPr>
      </w:pPr>
      <w:r w:rsidRPr="000F51FC">
        <w:rPr>
          <w:b/>
          <w:bCs/>
          <w:noProof/>
          <w:lang w:val="en-IE" w:eastAsia="fr-FR"/>
        </w:rPr>
        <w:t>‘Legislative riders’ and other ways of limiting public consultation continue to impact the quality of the legislative process.</w:t>
      </w:r>
      <w:r w:rsidRPr="000F51FC">
        <w:rPr>
          <w:rFonts w:eastAsia="Calibri"/>
          <w:noProof/>
          <w:szCs w:val="22"/>
          <w:lang w:val="en-IE" w:eastAsia="en-US"/>
        </w:rPr>
        <w:t xml:space="preserve"> </w:t>
      </w:r>
      <w:r w:rsidRPr="000F51FC">
        <w:rPr>
          <w:noProof/>
          <w:lang w:val="en-IE" w:eastAsia="fr-FR"/>
        </w:rPr>
        <w:t>The use of accelerated legislative procedures, often without justification, has become more frequent</w:t>
      </w:r>
      <w:r w:rsidRPr="000F51FC">
        <w:rPr>
          <w:noProof/>
          <w:vertAlign w:val="superscript"/>
          <w:lang w:val="en-IE" w:eastAsia="fr-FR"/>
        </w:rPr>
        <w:footnoteReference w:id="130"/>
      </w:r>
      <w:r w:rsidRPr="000F51FC">
        <w:rPr>
          <w:noProof/>
          <w:lang w:val="en-IE" w:eastAsia="fr-FR"/>
        </w:rPr>
        <w:t>. At the same time the number of parliamentary proposals which circumvent public and stakeholder engagement, inter-departmental review and impact assessment, has increased as well</w:t>
      </w:r>
      <w:r w:rsidRPr="000F51FC">
        <w:rPr>
          <w:noProof/>
          <w:vertAlign w:val="superscript"/>
          <w:lang w:val="en-IE" w:eastAsia="fr-FR"/>
        </w:rPr>
        <w:footnoteReference w:id="131"/>
      </w:r>
      <w:r w:rsidRPr="000F51FC">
        <w:rPr>
          <w:noProof/>
          <w:lang w:val="en-IE" w:eastAsia="fr-FR"/>
        </w:rPr>
        <w:t xml:space="preserve">. </w:t>
      </w:r>
      <w:r w:rsidRPr="000F51FC">
        <w:rPr>
          <w:rFonts w:eastAsia="Calibri"/>
          <w:noProof/>
          <w:szCs w:val="22"/>
          <w:lang w:val="en-IE" w:eastAsia="en-US"/>
        </w:rPr>
        <w:t>According to the Government, the relatively high proportion of acts approved in fast-track procedures might have been linked to the end of the legislative term</w:t>
      </w:r>
      <w:r w:rsidRPr="000F51FC">
        <w:rPr>
          <w:rFonts w:eastAsia="Aptos"/>
          <w:noProof/>
          <w:szCs w:val="22"/>
          <w:vertAlign w:val="superscript"/>
          <w:lang w:val="en-IE" w:eastAsia="en-US"/>
        </w:rPr>
        <w:footnoteReference w:id="132"/>
      </w:r>
      <w:r w:rsidRPr="000F51FC">
        <w:rPr>
          <w:rFonts w:eastAsia="Calibri"/>
          <w:noProof/>
          <w:szCs w:val="22"/>
          <w:lang w:val="en-IE" w:eastAsia="en-US"/>
        </w:rPr>
        <w:t>. European standards stipulate that legislatures should avoid resorting to expedited adoption of legal acts on a regular basis and</w:t>
      </w:r>
      <w:r w:rsidRPr="000F51FC" w:rsidDel="00C75BF1">
        <w:rPr>
          <w:rFonts w:eastAsia="Calibri"/>
          <w:noProof/>
          <w:szCs w:val="22"/>
          <w:lang w:val="en-IE" w:eastAsia="en-US"/>
        </w:rPr>
        <w:t xml:space="preserve"> </w:t>
      </w:r>
      <w:r w:rsidRPr="000F51FC">
        <w:rPr>
          <w:rFonts w:eastAsia="Calibri"/>
          <w:noProof/>
          <w:szCs w:val="22"/>
          <w:lang w:val="en-IE" w:eastAsia="en-US"/>
        </w:rPr>
        <w:t>the legislative procedure needs to be transparent, inclusive and democratic, allowing for a meaningful public debate</w:t>
      </w:r>
      <w:r w:rsidRPr="000F51FC">
        <w:rPr>
          <w:rFonts w:eastAsia="Calibri"/>
          <w:noProof/>
          <w:szCs w:val="22"/>
          <w:vertAlign w:val="superscript"/>
          <w:lang w:val="en-IE" w:eastAsia="en-US"/>
        </w:rPr>
        <w:footnoteReference w:id="133"/>
      </w:r>
      <w:r w:rsidRPr="000F51FC">
        <w:rPr>
          <w:rFonts w:eastAsia="Calibri"/>
          <w:noProof/>
          <w:szCs w:val="22"/>
          <w:lang w:val="en-IE" w:eastAsia="en-US"/>
        </w:rPr>
        <w:t>. Stakeholders raised concerns as regards the application of techniques circumventing public participation in cases of acts of significant importance</w:t>
      </w:r>
      <w:r w:rsidRPr="000F51FC">
        <w:rPr>
          <w:rFonts w:eastAsia="Calibri"/>
          <w:noProof/>
          <w:szCs w:val="22"/>
          <w:vertAlign w:val="superscript"/>
          <w:lang w:val="en-IE" w:eastAsia="en-US"/>
        </w:rPr>
        <w:footnoteReference w:id="134"/>
      </w:r>
      <w:r w:rsidRPr="000F51FC">
        <w:rPr>
          <w:rFonts w:eastAsia="Calibri"/>
          <w:noProof/>
          <w:szCs w:val="22"/>
          <w:lang w:val="en-IE" w:eastAsia="en-US"/>
        </w:rPr>
        <w:t>. These include the draft law on State Employees which aims to remove civil service from public law and place it under a private-law regime, easing the conditions for dismissal of public employees, including independent regulatory bodies</w:t>
      </w:r>
      <w:r w:rsidRPr="000F51FC">
        <w:rPr>
          <w:rFonts w:eastAsia="Calibri"/>
          <w:noProof/>
          <w:szCs w:val="22"/>
          <w:vertAlign w:val="superscript"/>
          <w:lang w:val="en-IE" w:eastAsia="en-US"/>
        </w:rPr>
        <w:footnoteReference w:id="135"/>
      </w:r>
      <w:r w:rsidRPr="000F51FC">
        <w:rPr>
          <w:rFonts w:eastAsia="Calibri"/>
          <w:noProof/>
          <w:szCs w:val="22"/>
          <w:lang w:val="en-IE" w:eastAsia="en-US"/>
        </w:rPr>
        <w:t xml:space="preserve">. </w:t>
      </w:r>
    </w:p>
    <w:p w14:paraId="08B660DE" w14:textId="77777777" w:rsidR="000F51FC" w:rsidRPr="000F51FC" w:rsidRDefault="000F51FC" w:rsidP="000F51FC">
      <w:pPr>
        <w:spacing w:after="160"/>
        <w:rPr>
          <w:b/>
          <w:bCs/>
          <w:noProof/>
          <w:lang w:val="en-IE" w:eastAsia="fr-FR"/>
        </w:rPr>
      </w:pPr>
      <w:r w:rsidRPr="000F51FC">
        <w:rPr>
          <w:b/>
          <w:bCs/>
          <w:noProof/>
          <w:szCs w:val="22"/>
          <w:lang w:eastAsia="fr-FR"/>
        </w:rPr>
        <w:t xml:space="preserve">More than half of companies surveyed in Czechia express confidence in the effectiveness of investment protection. </w:t>
      </w:r>
      <w:r w:rsidRPr="000F51FC">
        <w:rPr>
          <w:rFonts w:eastAsia="MS Mincho"/>
          <w:noProof/>
          <w:szCs w:val="24"/>
          <w:lang w:val="en-US" w:eastAsia="ja-JP"/>
        </w:rPr>
        <w:t>64% of companies are very or fairly confident that investments are protected by law and courts, a figure which has slightly increased in comparison with 2025 (61%)</w:t>
      </w:r>
      <w:r w:rsidRPr="000F51FC">
        <w:rPr>
          <w:rFonts w:eastAsia="MS Mincho"/>
          <w:noProof/>
          <w:szCs w:val="24"/>
          <w:vertAlign w:val="superscript"/>
          <w:lang w:val="en-US" w:eastAsia="ja-JP"/>
        </w:rPr>
        <w:footnoteReference w:id="136"/>
      </w:r>
      <w:r w:rsidRPr="000F51FC">
        <w:rPr>
          <w:rFonts w:eastAsia="MS Mincho"/>
          <w:noProof/>
          <w:szCs w:val="24"/>
          <w:lang w:val="en-US" w:eastAsia="ja-JP"/>
        </w:rPr>
        <w:t>. As regards authorities relevant for economic operators, 55% of companies perceive the level of independence of the national competition authority (The Office for the Protection of Competition) as very or fairly good, a figure which has significantly increased in comparison with 2025 (48%)</w:t>
      </w:r>
      <w:r w:rsidRPr="000F51FC">
        <w:rPr>
          <w:rFonts w:eastAsia="MS Mincho"/>
          <w:noProof/>
          <w:szCs w:val="24"/>
          <w:vertAlign w:val="superscript"/>
          <w:lang w:val="en-US" w:eastAsia="ja-JP"/>
        </w:rPr>
        <w:footnoteReference w:id="137"/>
      </w:r>
      <w:r w:rsidRPr="000F51FC">
        <w:rPr>
          <w:rFonts w:eastAsia="MS Mincho"/>
          <w:noProof/>
          <w:szCs w:val="24"/>
          <w:lang w:val="en-US" w:eastAsia="ja-JP"/>
        </w:rPr>
        <w:t xml:space="preserve">. </w:t>
      </w:r>
      <w:r w:rsidRPr="000F51FC">
        <w:rPr>
          <w:rFonts w:eastAsia="Calibri"/>
          <w:noProof/>
          <w:szCs w:val="24"/>
          <w:lang w:eastAsia="en-US"/>
          <w14:ligatures w14:val="standardContextual"/>
        </w:rPr>
        <w:t>The Supreme Administrative Court has jurisdiction in several business-related cases, including in cases related to public procurement, public concessions, public contracts and economic regulation. A number of judicial mechanisms to improve efficiency are available in these cases, including the possibility to apply interim measures, joint examination of similar cases and the consolidation of multiple appeals</w:t>
      </w:r>
      <w:r w:rsidRPr="000F51FC">
        <w:rPr>
          <w:rFonts w:eastAsia="Calibri"/>
          <w:noProof/>
          <w:szCs w:val="24"/>
          <w:vertAlign w:val="superscript"/>
          <w:lang w:eastAsia="en-US"/>
          <w14:ligatures w14:val="standardContextual"/>
        </w:rPr>
        <w:footnoteReference w:id="138"/>
      </w:r>
      <w:r w:rsidRPr="000F51FC">
        <w:rPr>
          <w:rFonts w:eastAsia="Calibri"/>
          <w:noProof/>
          <w:szCs w:val="24"/>
          <w:lang w:eastAsia="en-US"/>
          <w14:ligatures w14:val="standardContextual"/>
        </w:rPr>
        <w:t>.</w:t>
      </w:r>
    </w:p>
    <w:p w14:paraId="57AECDEF" w14:textId="64609A25" w:rsidR="000F51FC" w:rsidRPr="000F51FC" w:rsidRDefault="000F51FC" w:rsidP="000F51FC">
      <w:pPr>
        <w:rPr>
          <w:rFonts w:eastAsia="Calibri"/>
          <w:noProof/>
          <w:szCs w:val="22"/>
          <w:lang w:val="en-IE" w:eastAsia="en-US"/>
        </w:rPr>
      </w:pPr>
      <w:r w:rsidRPr="000F51FC">
        <w:rPr>
          <w:b/>
          <w:noProof/>
          <w:szCs w:val="22"/>
          <w:lang w:val="en-IE" w:eastAsia="fr-FR"/>
        </w:rPr>
        <w:t xml:space="preserve">Implementation of the amendments to the Ombudsman Act establishing a National Human Rights Institution is ongoing. </w:t>
      </w:r>
      <w:r w:rsidRPr="000F51FC">
        <w:rPr>
          <w:rFonts w:eastAsia="Calibri"/>
          <w:noProof/>
          <w:szCs w:val="22"/>
          <w:lang w:val="en-IE" w:eastAsia="en-US"/>
        </w:rPr>
        <w:t>Since July 2025, the Office of the Public Defender also comprises the mandate of the National Human Rights Institution (NHRI). In addition, the position of a Children’s Ombudsperson was created and the process for the election of the Public Defender has been amended to include civil society representatives</w:t>
      </w:r>
      <w:r w:rsidR="001E199C">
        <w:rPr>
          <w:rStyle w:val="FootnoteReference"/>
          <w:rFonts w:eastAsia="Calibri"/>
          <w:noProof/>
          <w:szCs w:val="22"/>
          <w:lang w:val="en-IE" w:eastAsia="en-US"/>
        </w:rPr>
        <w:footnoteReference w:id="139"/>
      </w:r>
      <w:r w:rsidRPr="000F51FC">
        <w:rPr>
          <w:rFonts w:eastAsia="Calibri"/>
          <w:noProof/>
          <w:szCs w:val="22"/>
          <w:lang w:val="en-IE" w:eastAsia="en-US"/>
        </w:rPr>
        <w:t>. Stakeholders welcome these changes</w:t>
      </w:r>
      <w:r w:rsidRPr="000F51FC">
        <w:rPr>
          <w:rFonts w:eastAsia="Calibri"/>
          <w:noProof/>
          <w:szCs w:val="22"/>
          <w:vertAlign w:val="superscript"/>
          <w:lang w:val="en-IE" w:eastAsia="en-US"/>
        </w:rPr>
        <w:footnoteReference w:id="140"/>
      </w:r>
      <w:r w:rsidRPr="000F51FC">
        <w:rPr>
          <w:rFonts w:eastAsia="Calibri"/>
          <w:noProof/>
          <w:szCs w:val="22"/>
          <w:lang w:val="en-IE" w:eastAsia="en-US"/>
        </w:rPr>
        <w:t>. The Office of the Public Defender progresses with the adaptation to the new setup and the application for the GANHRI accreditation is envisaged for 2026</w:t>
      </w:r>
      <w:r w:rsidRPr="000F51FC">
        <w:rPr>
          <w:rFonts w:eastAsia="Calibri"/>
          <w:noProof/>
          <w:szCs w:val="22"/>
          <w:vertAlign w:val="superscript"/>
          <w:lang w:val="en-IE" w:eastAsia="en-US"/>
        </w:rPr>
        <w:footnoteReference w:id="141"/>
      </w:r>
      <w:r w:rsidRPr="000F51FC">
        <w:rPr>
          <w:rFonts w:eastAsia="Calibri"/>
          <w:noProof/>
          <w:szCs w:val="22"/>
          <w:lang w:val="en-IE" w:eastAsia="en-US"/>
        </w:rPr>
        <w:t>. At the same time, stakeholders highlighted uncertainty as regards the budget for the new institutional setup as more resources will be needed to cover the new competencies of the Office</w:t>
      </w:r>
      <w:r w:rsidRPr="000F51FC">
        <w:rPr>
          <w:rFonts w:eastAsia="Calibri"/>
          <w:noProof/>
          <w:szCs w:val="22"/>
          <w:vertAlign w:val="superscript"/>
          <w:lang w:val="en-IE" w:eastAsia="en-US"/>
        </w:rPr>
        <w:footnoteReference w:id="142"/>
      </w:r>
      <w:r w:rsidRPr="000F51FC">
        <w:rPr>
          <w:rFonts w:eastAsia="Calibri"/>
          <w:noProof/>
          <w:szCs w:val="22"/>
          <w:lang w:val="en-IE" w:eastAsia="en-US"/>
        </w:rPr>
        <w:t>.</w:t>
      </w:r>
    </w:p>
    <w:p w14:paraId="681F26E2" w14:textId="28599CE2" w:rsidR="000F51FC" w:rsidRPr="000F51FC" w:rsidRDefault="000F51FC" w:rsidP="000F51FC">
      <w:pPr>
        <w:spacing w:after="160"/>
        <w:rPr>
          <w:rFonts w:eastAsia="MS Mincho"/>
          <w:noProof/>
          <w:szCs w:val="24"/>
          <w:lang w:val="en-IE" w:eastAsia="ja-JP"/>
        </w:rPr>
      </w:pPr>
      <w:r w:rsidRPr="000F51FC">
        <w:rPr>
          <w:rFonts w:eastAsia="MS Mincho"/>
          <w:b/>
          <w:bCs/>
          <w:noProof/>
          <w:szCs w:val="24"/>
          <w:lang w:val="en-IE" w:eastAsia="ja-JP"/>
        </w:rPr>
        <w:t>On 1 January 2026, Czech Republic had 9 leading judgments of the European Court of Human Rights pending implementation, the same as the previous year</w:t>
      </w:r>
      <w:r w:rsidRPr="000F51FC">
        <w:rPr>
          <w:rFonts w:eastAsia="MS Mincho"/>
          <w:b/>
          <w:bCs/>
          <w:noProof/>
          <w:szCs w:val="24"/>
          <w:vertAlign w:val="superscript"/>
          <w:lang w:val="en-US" w:eastAsia="ja-JP"/>
        </w:rPr>
        <w:footnoteReference w:id="143"/>
      </w:r>
      <w:r w:rsidRPr="000F51FC">
        <w:rPr>
          <w:rFonts w:eastAsia="MS Mincho"/>
          <w:b/>
          <w:bCs/>
          <w:noProof/>
          <w:szCs w:val="24"/>
          <w:lang w:val="en-IE" w:eastAsia="ja-JP"/>
        </w:rPr>
        <w:t xml:space="preserve">. </w:t>
      </w:r>
      <w:r w:rsidRPr="000F51FC">
        <w:rPr>
          <w:rFonts w:eastAsia="MS Mincho"/>
          <w:noProof/>
          <w:szCs w:val="24"/>
          <w:lang w:val="en-IE" w:eastAsia="ja-JP"/>
        </w:rPr>
        <w:t>At that time, Czech Republic’s rate of leading judgments from the past 10 years that had been implemented was at</w:t>
      </w:r>
      <w:r w:rsidRPr="000F51FC" w:rsidDel="001950D8">
        <w:rPr>
          <w:rFonts w:eastAsia="MS Mincho"/>
          <w:noProof/>
          <w:szCs w:val="24"/>
          <w:lang w:val="en-IE" w:eastAsia="ja-JP"/>
        </w:rPr>
        <w:t xml:space="preserve"> </w:t>
      </w:r>
      <w:r w:rsidRPr="000F51FC">
        <w:rPr>
          <w:rFonts w:eastAsia="MS Mincho"/>
          <w:noProof/>
          <w:szCs w:val="24"/>
          <w:lang w:val="en-IE" w:eastAsia="ja-JP"/>
        </w:rPr>
        <w:t>62% (compared to 56% in 2025; 38% remained pending), and the average time that the judgments had been pending implementation was 2 years and 9 months (compared to 2 years and 8 months in 2025)</w:t>
      </w:r>
      <w:r w:rsidRPr="000F51FC">
        <w:rPr>
          <w:rFonts w:eastAsia="MS Mincho"/>
          <w:noProof/>
          <w:szCs w:val="24"/>
          <w:vertAlign w:val="superscript"/>
          <w:lang w:val="en-US" w:eastAsia="ja-JP"/>
        </w:rPr>
        <w:footnoteReference w:id="144"/>
      </w:r>
      <w:r w:rsidRPr="000F51FC">
        <w:rPr>
          <w:rFonts w:eastAsia="MS Mincho"/>
          <w:noProof/>
          <w:szCs w:val="24"/>
          <w:lang w:val="en-IE" w:eastAsia="ja-JP"/>
        </w:rPr>
        <w:t>. The oldest leading judgment, pending implementation for more than 18 years</w:t>
      </w:r>
      <w:r w:rsidRPr="000F51FC">
        <w:rPr>
          <w:rFonts w:eastAsia="MS Mincho"/>
          <w:noProof/>
          <w:szCs w:val="24"/>
          <w:vertAlign w:val="superscript"/>
          <w:lang w:val="en-US" w:eastAsia="ja-JP"/>
        </w:rPr>
        <w:footnoteReference w:id="145"/>
      </w:r>
      <w:r w:rsidRPr="000F51FC">
        <w:rPr>
          <w:rFonts w:eastAsia="MS Mincho"/>
          <w:noProof/>
          <w:szCs w:val="24"/>
          <w:lang w:val="en-IE" w:eastAsia="ja-JP"/>
        </w:rPr>
        <w:t>.</w:t>
      </w:r>
      <w:r w:rsidRPr="000F51FC">
        <w:rPr>
          <w:rFonts w:eastAsia="MS Mincho"/>
          <w:b/>
          <w:bCs/>
          <w:noProof/>
          <w:szCs w:val="24"/>
          <w:lang w:val="en-IE" w:eastAsia="ja-JP"/>
        </w:rPr>
        <w:t xml:space="preserve"> </w:t>
      </w:r>
      <w:r w:rsidRPr="000F51FC">
        <w:rPr>
          <w:rFonts w:eastAsia="MS Mincho"/>
          <w:noProof/>
          <w:szCs w:val="24"/>
          <w:lang w:val="en-IE" w:eastAsia="ja-JP"/>
        </w:rPr>
        <w:t>As regards the respect of payment deadlines, on 31 December 2025 there were 2 cases in total awaiting confirmation of payments (compared to 1 in 2024)</w:t>
      </w:r>
      <w:r w:rsidRPr="000F51FC">
        <w:rPr>
          <w:rFonts w:eastAsia="MS Mincho"/>
          <w:noProof/>
          <w:szCs w:val="24"/>
          <w:vertAlign w:val="superscript"/>
          <w:lang w:val="en-US" w:eastAsia="ja-JP"/>
        </w:rPr>
        <w:footnoteReference w:id="146"/>
      </w:r>
      <w:r w:rsidRPr="000F51FC">
        <w:rPr>
          <w:rFonts w:eastAsia="MS Mincho"/>
          <w:noProof/>
          <w:szCs w:val="24"/>
          <w:lang w:val="en-IE" w:eastAsia="ja-JP"/>
        </w:rPr>
        <w:t>.</w:t>
      </w:r>
      <w:r w:rsidRPr="000F51FC">
        <w:rPr>
          <w:rFonts w:eastAsia="MS Mincho"/>
          <w:b/>
          <w:bCs/>
          <w:noProof/>
          <w:szCs w:val="24"/>
          <w:lang w:val="en-IE" w:eastAsia="ja-JP"/>
        </w:rPr>
        <w:t xml:space="preserve"> </w:t>
      </w:r>
      <w:r w:rsidRPr="00101DC3">
        <w:rPr>
          <w:rFonts w:eastAsia="MS Mincho"/>
          <w:noProof/>
          <w:szCs w:val="24"/>
          <w:lang w:val="en-IE" w:eastAsia="ja-JP"/>
        </w:rPr>
        <w:t xml:space="preserve">By </w:t>
      </w:r>
      <w:r w:rsidR="00F53140" w:rsidRPr="00101DC3">
        <w:rPr>
          <w:rFonts w:eastAsia="MS Mincho"/>
          <w:noProof/>
          <w:szCs w:val="24"/>
          <w:lang w:val="en-IE" w:eastAsia="ja-JP"/>
        </w:rPr>
        <w:t>17</w:t>
      </w:r>
      <w:r w:rsidRPr="00101DC3">
        <w:rPr>
          <w:rFonts w:eastAsia="MS Mincho"/>
          <w:noProof/>
          <w:szCs w:val="24"/>
          <w:lang w:val="en-IE" w:eastAsia="ja-JP"/>
        </w:rPr>
        <w:t xml:space="preserve"> June</w:t>
      </w:r>
      <w:r w:rsidRPr="000F51FC">
        <w:rPr>
          <w:rFonts w:eastAsia="MS Mincho"/>
          <w:noProof/>
          <w:szCs w:val="24"/>
          <w:lang w:val="en-IE" w:eastAsia="ja-JP"/>
        </w:rPr>
        <w:t xml:space="preserve"> 2026, the number of leading judgments pending implementation had</w:t>
      </w:r>
      <w:r w:rsidR="00F53140">
        <w:rPr>
          <w:rFonts w:eastAsia="MS Mincho"/>
          <w:noProof/>
          <w:szCs w:val="24"/>
          <w:lang w:val="en-IE" w:eastAsia="ja-JP"/>
        </w:rPr>
        <w:t xml:space="preserve"> increased to 10</w:t>
      </w:r>
      <w:r w:rsidRPr="000F51FC">
        <w:rPr>
          <w:rFonts w:eastAsia="MS Mincho"/>
          <w:noProof/>
          <w:szCs w:val="24"/>
          <w:vertAlign w:val="superscript"/>
          <w:lang w:val="en-US" w:eastAsia="ja-JP"/>
        </w:rPr>
        <w:footnoteReference w:id="147"/>
      </w:r>
      <w:r w:rsidRPr="000F51FC">
        <w:rPr>
          <w:rFonts w:eastAsia="MS Mincho"/>
          <w:noProof/>
          <w:szCs w:val="24"/>
          <w:lang w:val="en-IE" w:eastAsia="ja-JP"/>
        </w:rPr>
        <w:t>.</w:t>
      </w:r>
      <w:r w:rsidRPr="000F51FC">
        <w:rPr>
          <w:rFonts w:eastAsia="MS Mincho"/>
          <w:b/>
          <w:bCs/>
          <w:noProof/>
          <w:szCs w:val="24"/>
          <w:lang w:val="en-IE" w:eastAsia="ja-JP"/>
        </w:rPr>
        <w:t xml:space="preserve"> </w:t>
      </w:r>
    </w:p>
    <w:p w14:paraId="0E239CDF" w14:textId="70315522" w:rsidR="000F51FC" w:rsidRPr="000F51FC" w:rsidRDefault="000F51FC" w:rsidP="000F51FC">
      <w:pPr>
        <w:rPr>
          <w:noProof/>
          <w:szCs w:val="24"/>
          <w:lang w:val="en-IE" w:eastAsia="fr-FR"/>
        </w:rPr>
      </w:pPr>
      <w:r w:rsidRPr="000F51FC">
        <w:rPr>
          <w:b/>
          <w:bCs/>
          <w:noProof/>
          <w:szCs w:val="24"/>
          <w:lang w:val="en-IE" w:eastAsia="fr-FR"/>
        </w:rPr>
        <w:t xml:space="preserve">While civic space remains favourable, civil society organisations reported funding cuts and a change in the narrative regarding their role. </w:t>
      </w:r>
      <w:r w:rsidRPr="000F51FC">
        <w:rPr>
          <w:noProof/>
          <w:szCs w:val="24"/>
          <w:lang w:val="en-IE" w:eastAsia="fr-FR"/>
        </w:rPr>
        <w:t>Civic space is considered by Civicus as ‘open’</w:t>
      </w:r>
      <w:r w:rsidRPr="000F51FC">
        <w:rPr>
          <w:noProof/>
          <w:szCs w:val="24"/>
          <w:vertAlign w:val="superscript"/>
          <w:lang w:val="en-IE" w:eastAsia="fr-FR"/>
        </w:rPr>
        <w:footnoteReference w:id="148"/>
      </w:r>
      <w:r w:rsidRPr="000F51FC">
        <w:rPr>
          <w:noProof/>
          <w:szCs w:val="24"/>
          <w:lang w:val="en-IE" w:eastAsia="fr-FR"/>
        </w:rPr>
        <w:t>. Stakeholders reported on a noticeable change of narrative as regards the role of the CSOs, including increased labelling of CSOs by Government representatives as “political agents”, which has according to them, impacted public trust in the CSOs sector</w:t>
      </w:r>
      <w:r w:rsidRPr="000F51FC">
        <w:rPr>
          <w:noProof/>
          <w:szCs w:val="24"/>
          <w:vertAlign w:val="superscript"/>
          <w:lang w:val="en-IE" w:eastAsia="fr-FR"/>
        </w:rPr>
        <w:footnoteReference w:id="149"/>
      </w:r>
      <w:r w:rsidRPr="000F51FC">
        <w:rPr>
          <w:noProof/>
          <w:szCs w:val="24"/>
          <w:lang w:val="en-IE" w:eastAsia="fr-FR"/>
        </w:rPr>
        <w:t>. As per its Programme Statement, the Government is aiming at increasing the transparency of the CSO sector and</w:t>
      </w:r>
      <w:r w:rsidRPr="000F51FC" w:rsidDel="00233322">
        <w:rPr>
          <w:noProof/>
          <w:szCs w:val="24"/>
          <w:lang w:val="en-IE" w:eastAsia="fr-FR"/>
        </w:rPr>
        <w:t xml:space="preserve"> </w:t>
      </w:r>
      <w:r w:rsidRPr="000F51FC">
        <w:rPr>
          <w:noProof/>
          <w:szCs w:val="24"/>
          <w:lang w:val="en-IE" w:eastAsia="fr-FR"/>
        </w:rPr>
        <w:t>introducing a register for all CSOs receiving public funds</w:t>
      </w:r>
      <w:r w:rsidRPr="000F51FC">
        <w:rPr>
          <w:noProof/>
          <w:szCs w:val="22"/>
          <w:vertAlign w:val="superscript"/>
          <w:lang w:val="en-US" w:eastAsia="fr-FR"/>
        </w:rPr>
        <w:t xml:space="preserve"> </w:t>
      </w:r>
      <w:r w:rsidRPr="000F51FC">
        <w:rPr>
          <w:noProof/>
          <w:szCs w:val="22"/>
          <w:vertAlign w:val="superscript"/>
          <w:lang w:val="en-US" w:eastAsia="fr-FR"/>
        </w:rPr>
        <w:footnoteReference w:id="150"/>
      </w:r>
      <w:r w:rsidRPr="000F51FC">
        <w:rPr>
          <w:noProof/>
          <w:szCs w:val="24"/>
          <w:lang w:val="en-IE" w:eastAsia="fr-FR"/>
        </w:rPr>
        <w:t>, which prompted concerns from stakeholders as regards unnecessary information disclosure, additional administrative burden and disproportionate sanctions in case of non</w:t>
      </w:r>
      <w:r w:rsidRPr="000F51FC">
        <w:rPr>
          <w:noProof/>
          <w:szCs w:val="24"/>
          <w:lang w:val="cs-CZ" w:eastAsia="fr-FR"/>
        </w:rPr>
        <w:t>-compliance</w:t>
      </w:r>
      <w:r w:rsidRPr="000F51FC">
        <w:rPr>
          <w:noProof/>
          <w:szCs w:val="24"/>
          <w:vertAlign w:val="superscript"/>
          <w:lang w:val="cs-CZ" w:eastAsia="fr-FR"/>
        </w:rPr>
        <w:footnoteReference w:id="151"/>
      </w:r>
      <w:r w:rsidRPr="000F51FC">
        <w:rPr>
          <w:noProof/>
          <w:szCs w:val="24"/>
          <w:lang w:val="en-IE" w:eastAsia="fr-FR"/>
        </w:rPr>
        <w:t>.</w:t>
      </w:r>
      <w:r w:rsidR="000C317B">
        <w:rPr>
          <w:noProof/>
          <w:szCs w:val="24"/>
          <w:lang w:val="en-IE" w:eastAsia="fr-FR"/>
        </w:rPr>
        <w:t xml:space="preserve"> </w:t>
      </w:r>
      <w:r w:rsidRPr="000F51FC">
        <w:rPr>
          <w:noProof/>
          <w:szCs w:val="24"/>
          <w:lang w:val="en-IE" w:eastAsia="fr-FR"/>
        </w:rPr>
        <w:t>Public funding for the CSO sector has been considerably reduced, with some domains of CSO action losing access to public funding altogether</w:t>
      </w:r>
      <w:r w:rsidRPr="000F51FC">
        <w:rPr>
          <w:noProof/>
          <w:szCs w:val="24"/>
          <w:vertAlign w:val="superscript"/>
          <w:lang w:val="en-IE" w:eastAsia="fr-FR"/>
        </w:rPr>
        <w:footnoteReference w:id="152"/>
      </w:r>
      <w:r w:rsidRPr="000F51FC">
        <w:rPr>
          <w:noProof/>
          <w:szCs w:val="24"/>
          <w:lang w:val="en-IE" w:eastAsia="fr-FR"/>
        </w:rPr>
        <w:t>.</w:t>
      </w:r>
    </w:p>
    <w:p w14:paraId="0745D8A7" w14:textId="77777777" w:rsidR="000F51FC" w:rsidRPr="000F51FC" w:rsidRDefault="000F51FC" w:rsidP="000F51FC">
      <w:pPr>
        <w:pageBreakBefore/>
        <w:spacing w:after="120" w:line="264" w:lineRule="auto"/>
        <w:rPr>
          <w:b/>
          <w:noProof/>
          <w:szCs w:val="22"/>
          <w:lang w:val="en-IE" w:eastAsia="en-GB"/>
        </w:rPr>
      </w:pPr>
      <w:r w:rsidRPr="000F51FC">
        <w:rPr>
          <w:b/>
          <w:noProof/>
          <w:szCs w:val="22"/>
          <w:lang w:val="en-IE" w:eastAsia="en-GB"/>
        </w:rPr>
        <w:t>Annex I: List of sources in alphabetical order*</w:t>
      </w:r>
    </w:p>
    <w:p w14:paraId="4C30873F" w14:textId="6572B12D" w:rsidR="005441F3" w:rsidRDefault="000F51FC" w:rsidP="00DE1C61">
      <w:pPr>
        <w:spacing w:after="120"/>
        <w:rPr>
          <w:i/>
          <w:noProof/>
          <w:sz w:val="22"/>
          <w:szCs w:val="22"/>
          <w:lang w:val="en-IE" w:eastAsia="en-GB"/>
        </w:rPr>
      </w:pPr>
      <w:r w:rsidRPr="000F51FC">
        <w:rPr>
          <w:i/>
          <w:noProof/>
          <w:sz w:val="22"/>
          <w:szCs w:val="22"/>
          <w:lang w:val="en-IE" w:eastAsia="en-GB"/>
        </w:rPr>
        <w:t xml:space="preserve">* The list of contributions received in the context of the consultation for the 2026 Rule of Law Report can be found at </w:t>
      </w:r>
      <w:hyperlink r:id="rId22" w:history="1">
        <w:r w:rsidR="002937F1" w:rsidRPr="002937F1">
          <w:rPr>
            <w:rStyle w:val="Hyperlink"/>
            <w:i/>
            <w:noProof/>
            <w:sz w:val="22"/>
            <w:szCs w:val="22"/>
            <w:lang w:eastAsia="en-GB"/>
          </w:rPr>
          <w:t>https://commission.europa.eu/publications/2026-rule-law-report-targeted-stakeholder-consultation_en</w:t>
        </w:r>
      </w:hyperlink>
      <w:r w:rsidR="001A4DDD">
        <w:rPr>
          <w:i/>
          <w:noProof/>
          <w:sz w:val="22"/>
          <w:szCs w:val="22"/>
          <w:lang w:val="en-IE" w:eastAsia="en-GB"/>
        </w:rPr>
        <w:t>.</w:t>
      </w:r>
    </w:p>
    <w:p w14:paraId="4249F93D" w14:textId="77777777" w:rsidR="005441F3" w:rsidRPr="00E61C1D" w:rsidRDefault="005441F3" w:rsidP="00DE1C61">
      <w:pPr>
        <w:spacing w:after="120"/>
        <w:rPr>
          <w:i/>
          <w:noProof/>
          <w:sz w:val="22"/>
          <w:szCs w:val="22"/>
          <w:lang w:val="en-IE" w:eastAsia="en-GB"/>
        </w:rPr>
      </w:pPr>
    </w:p>
    <w:p w14:paraId="56E23547" w14:textId="77777777" w:rsidR="00472538" w:rsidRPr="002D18F0" w:rsidRDefault="00472538" w:rsidP="000F51FC">
      <w:pPr>
        <w:spacing w:after="120"/>
        <w:ind w:left="284" w:hanging="284"/>
        <w:rPr>
          <w:rFonts w:eastAsia="Calibri"/>
          <w:noProof/>
          <w:color w:val="0563C1"/>
          <w:sz w:val="22"/>
          <w:szCs w:val="22"/>
          <w:u w:val="single"/>
          <w:lang w:val="de-DE" w:eastAsia="en-US"/>
        </w:rPr>
      </w:pPr>
      <w:r w:rsidRPr="002D18F0">
        <w:rPr>
          <w:rFonts w:eastAsia="Calibri"/>
          <w:noProof/>
          <w:sz w:val="22"/>
          <w:szCs w:val="22"/>
          <w:lang w:val="de-DE" w:eastAsia="en-US"/>
        </w:rPr>
        <w:t xml:space="preserve">Bezpečná žurnalistika (2026), 20 April 2026, </w:t>
      </w:r>
      <w:hyperlink r:id="rId23" w:history="1">
        <w:r w:rsidRPr="002D18F0">
          <w:rPr>
            <w:rFonts w:eastAsia="Calibri"/>
            <w:noProof/>
            <w:color w:val="0563C1"/>
            <w:sz w:val="22"/>
            <w:szCs w:val="22"/>
            <w:lang w:val="de-DE" w:eastAsia="en-US"/>
          </w:rPr>
          <w:t>https://bezpecnazurnalistika.cz/</w:t>
        </w:r>
      </w:hyperlink>
      <w:r w:rsidRPr="002D18F0">
        <w:rPr>
          <w:rFonts w:eastAsia="Calibri"/>
          <w:noProof/>
          <w:sz w:val="22"/>
          <w:szCs w:val="22"/>
          <w:lang w:val="de-DE" w:eastAsia="en-US"/>
        </w:rPr>
        <w:t>.</w:t>
      </w:r>
      <w:r w:rsidRPr="002D18F0">
        <w:rPr>
          <w:rFonts w:eastAsia="Calibri"/>
          <w:noProof/>
          <w:color w:val="0563C1"/>
          <w:sz w:val="22"/>
          <w:szCs w:val="22"/>
          <w:u w:val="single"/>
          <w:lang w:val="de-DE" w:eastAsia="en-US"/>
        </w:rPr>
        <w:t xml:space="preserve"> </w:t>
      </w:r>
    </w:p>
    <w:p w14:paraId="3F22B81D" w14:textId="70CA0525" w:rsidR="00472538" w:rsidRPr="002D18F0" w:rsidRDefault="00472538" w:rsidP="00D937D4">
      <w:pPr>
        <w:spacing w:after="120"/>
        <w:rPr>
          <w:i/>
          <w:noProof/>
          <w:sz w:val="22"/>
          <w:szCs w:val="22"/>
          <w:lang w:eastAsia="en-GB"/>
        </w:rPr>
      </w:pPr>
      <w:r w:rsidRPr="002D18F0">
        <w:rPr>
          <w:iCs/>
          <w:noProof/>
          <w:sz w:val="22"/>
          <w:szCs w:val="22"/>
          <w:lang w:eastAsia="en-GB"/>
        </w:rPr>
        <w:t>Centre for Media Pluralism and Media Freedom (2026),</w:t>
      </w:r>
      <w:r w:rsidRPr="002D18F0">
        <w:rPr>
          <w:i/>
          <w:noProof/>
          <w:sz w:val="22"/>
          <w:szCs w:val="22"/>
          <w:lang w:eastAsia="en-GB"/>
        </w:rPr>
        <w:t xml:space="preserve"> Media </w:t>
      </w:r>
      <w:r w:rsidR="007001D1" w:rsidRPr="002D18F0">
        <w:rPr>
          <w:i/>
          <w:noProof/>
          <w:sz w:val="22"/>
          <w:szCs w:val="22"/>
          <w:lang w:eastAsia="en-GB"/>
        </w:rPr>
        <w:t>P</w:t>
      </w:r>
      <w:r w:rsidRPr="002D18F0">
        <w:rPr>
          <w:i/>
          <w:noProof/>
          <w:sz w:val="22"/>
          <w:szCs w:val="22"/>
          <w:lang w:eastAsia="en-GB"/>
        </w:rPr>
        <w:t xml:space="preserve">luralism </w:t>
      </w:r>
      <w:r w:rsidR="007001D1" w:rsidRPr="002D18F0">
        <w:rPr>
          <w:i/>
          <w:noProof/>
          <w:sz w:val="22"/>
          <w:szCs w:val="22"/>
          <w:lang w:eastAsia="en-GB"/>
        </w:rPr>
        <w:t>M</w:t>
      </w:r>
      <w:r w:rsidRPr="002D18F0">
        <w:rPr>
          <w:i/>
          <w:noProof/>
          <w:sz w:val="22"/>
          <w:szCs w:val="22"/>
          <w:lang w:eastAsia="en-GB"/>
        </w:rPr>
        <w:t>onitor 2026.</w:t>
      </w:r>
    </w:p>
    <w:p w14:paraId="31FE09C7" w14:textId="59991E12" w:rsidR="00472538" w:rsidRPr="002D18F0" w:rsidRDefault="00472538" w:rsidP="000F51FC">
      <w:pPr>
        <w:spacing w:after="120"/>
        <w:rPr>
          <w:noProof/>
          <w:sz w:val="22"/>
          <w:szCs w:val="22"/>
          <w:lang w:val="en-IE" w:eastAsia="en-GB"/>
        </w:rPr>
      </w:pPr>
      <w:r w:rsidRPr="002D18F0">
        <w:rPr>
          <w:rFonts w:eastAsia="Calibri"/>
          <w:noProof/>
          <w:sz w:val="22"/>
          <w:szCs w:val="22"/>
          <w:lang w:val="en-IE" w:eastAsia="en-US"/>
        </w:rPr>
        <w:t xml:space="preserve">Civicus, Monitor tracking civic space – Czechia, </w:t>
      </w:r>
      <w:hyperlink r:id="rId24" w:history="1">
        <w:r w:rsidR="00235FD7" w:rsidRPr="002D18F0">
          <w:rPr>
            <w:rStyle w:val="Hyperlink"/>
            <w:rFonts w:eastAsia="Calibri"/>
            <w:noProof/>
            <w:sz w:val="22"/>
            <w:szCs w:val="22"/>
            <w:lang w:val="en-IE" w:eastAsia="en-US"/>
          </w:rPr>
          <w:t>https://monitor.civicus.org/country/czech-republic/</w:t>
        </w:r>
      </w:hyperlink>
      <w:r w:rsidR="006B751C">
        <w:rPr>
          <w:rFonts w:eastAsia="Calibri"/>
          <w:noProof/>
          <w:sz w:val="22"/>
          <w:szCs w:val="22"/>
          <w:lang w:val="en-IE" w:eastAsia="en-US"/>
        </w:rPr>
        <w:t>.</w:t>
      </w:r>
    </w:p>
    <w:p w14:paraId="79C9D794" w14:textId="3F4DFF46" w:rsidR="00472538" w:rsidRPr="002D18F0" w:rsidRDefault="00472538" w:rsidP="00DC4BE7">
      <w:pPr>
        <w:spacing w:after="120"/>
        <w:rPr>
          <w:noProof/>
          <w:sz w:val="22"/>
          <w:szCs w:val="22"/>
          <w:lang w:val="en-IE" w:eastAsia="en-GB"/>
        </w:rPr>
      </w:pPr>
      <w:r w:rsidRPr="002D18F0">
        <w:rPr>
          <w:noProof/>
          <w:sz w:val="22"/>
          <w:szCs w:val="22"/>
          <w:lang w:val="en-IE" w:eastAsia="en-GB"/>
        </w:rPr>
        <w:t xml:space="preserve">Constitutional Court (2024), </w:t>
      </w:r>
      <w:r w:rsidRPr="002D18F0">
        <w:rPr>
          <w:i/>
          <w:iCs/>
          <w:noProof/>
          <w:sz w:val="22"/>
          <w:szCs w:val="22"/>
          <w:lang w:val="en-IE" w:eastAsia="en-GB"/>
        </w:rPr>
        <w:t xml:space="preserve">Judgement of 15 May 2024 on the reduction in the salary base to 2.822 times the average monthly wage for 2024, </w:t>
      </w:r>
      <w:hyperlink r:id="rId25" w:history="1">
        <w:r w:rsidR="001E26E2" w:rsidRPr="001E26E2">
          <w:rPr>
            <w:rStyle w:val="Hyperlink"/>
            <w:noProof/>
            <w:sz w:val="22"/>
            <w:szCs w:val="22"/>
            <w:lang w:val="en-IE" w:eastAsia="en-GB"/>
          </w:rPr>
          <w:t>https://www.usoud.cz/fileadmin/user_upload/Tiskova_mluvci/Publikovane_nalezy/2024/pl-5-24_AN_vc._disentu_3.pdf</w:t>
        </w:r>
      </w:hyperlink>
      <w:r w:rsidR="001E26E2" w:rsidRPr="001E26E2">
        <w:rPr>
          <w:noProof/>
          <w:sz w:val="22"/>
          <w:szCs w:val="22"/>
          <w:lang w:val="en-IE" w:eastAsia="en-GB"/>
        </w:rPr>
        <w:t>.</w:t>
      </w:r>
    </w:p>
    <w:p w14:paraId="22EE1549" w14:textId="496F3989" w:rsidR="00235FD7" w:rsidRPr="002D18F0" w:rsidRDefault="00472538" w:rsidP="000F51FC">
      <w:pPr>
        <w:spacing w:after="120"/>
        <w:rPr>
          <w:noProof/>
          <w:sz w:val="22"/>
          <w:szCs w:val="22"/>
          <w:lang w:val="en-IE" w:eastAsia="en-GB"/>
        </w:rPr>
      </w:pPr>
      <w:r w:rsidRPr="002D18F0">
        <w:rPr>
          <w:noProof/>
          <w:sz w:val="22"/>
          <w:szCs w:val="22"/>
          <w:lang w:val="en-IE" w:eastAsia="en-GB"/>
        </w:rPr>
        <w:t xml:space="preserve">Constitutional Court (2025), </w:t>
      </w:r>
      <w:r w:rsidRPr="002D18F0">
        <w:rPr>
          <w:i/>
          <w:iCs/>
          <w:noProof/>
          <w:sz w:val="22"/>
          <w:szCs w:val="22"/>
          <w:lang w:val="en-IE" w:eastAsia="en-GB"/>
        </w:rPr>
        <w:t>Judgement</w:t>
      </w:r>
      <w:r w:rsidR="004F3936" w:rsidRPr="002D18F0">
        <w:rPr>
          <w:i/>
          <w:iCs/>
          <w:noProof/>
          <w:sz w:val="22"/>
          <w:szCs w:val="22"/>
          <w:lang w:val="en-IE" w:eastAsia="en-GB"/>
        </w:rPr>
        <w:t xml:space="preserve"> No.</w:t>
      </w:r>
      <w:r w:rsidR="003D2292" w:rsidRPr="002D18F0">
        <w:rPr>
          <w:i/>
          <w:iCs/>
          <w:noProof/>
          <w:sz w:val="22"/>
          <w:szCs w:val="22"/>
          <w:lang w:val="en-IE" w:eastAsia="en-GB"/>
        </w:rPr>
        <w:t xml:space="preserve"> Pl. ÚS 19/25</w:t>
      </w:r>
      <w:r w:rsidRPr="002D18F0">
        <w:rPr>
          <w:i/>
          <w:iCs/>
          <w:noProof/>
          <w:sz w:val="22"/>
          <w:szCs w:val="22"/>
          <w:lang w:val="en-IE" w:eastAsia="en-GB"/>
        </w:rPr>
        <w:t xml:space="preserve"> of 1 October 2025 on the salary restrictions for judges for 2025, </w:t>
      </w:r>
      <w:hyperlink r:id="rId26" w:tgtFrame="_blank" w:tooltip="https://www.usoud.cz/fileadmin/user_upload/tiskova_mluvci/publikovane_nalezy/2025/pl_%c3%9as_19_25_n%c3%a1lez_odli%c5%a1n%c3%a9_stanovisko_an.pdf" w:history="1">
        <w:r w:rsidRPr="002D18F0">
          <w:rPr>
            <w:rStyle w:val="Hyperlink"/>
            <w:noProof/>
            <w:sz w:val="22"/>
            <w:szCs w:val="22"/>
            <w:lang w:val="en-IE" w:eastAsia="en-GB"/>
          </w:rPr>
          <w:t>Pl_ÚS_19_25_nález_odlišné_stanovisko_AN.pdf</w:t>
        </w:r>
      </w:hyperlink>
      <w:r w:rsidR="00207283">
        <w:rPr>
          <w:noProof/>
          <w:sz w:val="22"/>
          <w:szCs w:val="22"/>
          <w:lang w:val="en-IE" w:eastAsia="en-GB"/>
        </w:rPr>
        <w:t>.</w:t>
      </w:r>
    </w:p>
    <w:p w14:paraId="3AFBEDEE" w14:textId="6CB07B18" w:rsidR="00472538" w:rsidRPr="002D18F0" w:rsidRDefault="00472538" w:rsidP="000F51FC">
      <w:pPr>
        <w:spacing w:after="120"/>
        <w:rPr>
          <w:noProof/>
        </w:rPr>
      </w:pPr>
      <w:r w:rsidRPr="002D18F0">
        <w:rPr>
          <w:noProof/>
          <w:sz w:val="22"/>
          <w:szCs w:val="22"/>
          <w:lang w:val="en-IE" w:eastAsia="en-GB"/>
        </w:rPr>
        <w:t xml:space="preserve">Construction Act (1998), </w:t>
      </w:r>
      <w:r w:rsidRPr="002D18F0">
        <w:rPr>
          <w:i/>
          <w:iCs/>
          <w:noProof/>
          <w:sz w:val="22"/>
          <w:szCs w:val="22"/>
          <w:lang w:val="en-IE" w:eastAsia="en-GB"/>
        </w:rPr>
        <w:t>Draft amendment Print No. 67/0</w:t>
      </w:r>
      <w:r w:rsidRPr="002D18F0">
        <w:rPr>
          <w:noProof/>
          <w:sz w:val="22"/>
          <w:szCs w:val="22"/>
          <w:lang w:val="en-IE" w:eastAsia="en-GB"/>
        </w:rPr>
        <w:t xml:space="preserve">, </w:t>
      </w:r>
      <w:hyperlink r:id="rId27" w:history="1">
        <w:r w:rsidR="004D17B3" w:rsidRPr="002D18F0">
          <w:rPr>
            <w:rStyle w:val="Hyperlink"/>
            <w:noProof/>
            <w:sz w:val="22"/>
            <w:szCs w:val="22"/>
            <w:lang w:val="en-IE" w:eastAsia="en-GB"/>
          </w:rPr>
          <w:t>https://www.psp.cz/sqw/text/orig2.sqw?idd=266772</w:t>
        </w:r>
      </w:hyperlink>
      <w:r w:rsidR="00207283">
        <w:rPr>
          <w:noProof/>
          <w:sz w:val="22"/>
          <w:szCs w:val="22"/>
          <w:lang w:val="en-IE" w:eastAsia="en-GB"/>
        </w:rPr>
        <w:t>.</w:t>
      </w:r>
    </w:p>
    <w:p w14:paraId="6DE38BFD" w14:textId="77777777" w:rsidR="00472538" w:rsidRPr="002D18F0" w:rsidRDefault="00472538" w:rsidP="000F51FC">
      <w:pPr>
        <w:spacing w:after="120"/>
        <w:rPr>
          <w:rFonts w:eastAsia="Calibri"/>
          <w:i/>
          <w:iCs/>
          <w:noProof/>
          <w:sz w:val="22"/>
          <w:szCs w:val="22"/>
          <w:lang w:val="en-IE" w:eastAsia="en-US"/>
        </w:rPr>
      </w:pPr>
      <w:r w:rsidRPr="002D18F0">
        <w:rPr>
          <w:rFonts w:eastAsia="Calibri"/>
          <w:noProof/>
          <w:sz w:val="22"/>
          <w:szCs w:val="22"/>
          <w:lang w:val="en-IE" w:eastAsia="en-US"/>
        </w:rPr>
        <w:t xml:space="preserve">Council for Radio and Television Broadcasting (2026), </w:t>
      </w:r>
      <w:r w:rsidRPr="002D18F0">
        <w:rPr>
          <w:rFonts w:eastAsia="Calibri"/>
          <w:i/>
          <w:iCs/>
          <w:noProof/>
          <w:sz w:val="22"/>
          <w:szCs w:val="22"/>
          <w:lang w:val="en-IE" w:eastAsia="en-US"/>
        </w:rPr>
        <w:t xml:space="preserve">Input from the Council for Radio and Television Broadcasting for the 2026 Rule of Law Report. </w:t>
      </w:r>
    </w:p>
    <w:p w14:paraId="003D79EE" w14:textId="706BF502" w:rsidR="00630093" w:rsidRPr="002D18F0" w:rsidRDefault="00630093" w:rsidP="000F51FC">
      <w:pPr>
        <w:spacing w:after="120"/>
        <w:rPr>
          <w:rFonts w:eastAsia="Calibri"/>
          <w:i/>
          <w:iCs/>
          <w:noProof/>
          <w:sz w:val="22"/>
          <w:szCs w:val="22"/>
          <w:lang w:val="en-IE" w:eastAsia="en-US"/>
        </w:rPr>
      </w:pPr>
      <w:r w:rsidRPr="002D18F0">
        <w:rPr>
          <w:rFonts w:eastAsia="Calibri"/>
          <w:noProof/>
          <w:sz w:val="22"/>
          <w:szCs w:val="22"/>
          <w:lang w:val="en-IE" w:eastAsia="en-US"/>
        </w:rPr>
        <w:t>Council of Europe</w:t>
      </w:r>
      <w:r w:rsidR="00B04819" w:rsidRPr="002D18F0">
        <w:rPr>
          <w:rFonts w:eastAsia="Calibri"/>
          <w:noProof/>
          <w:sz w:val="22"/>
          <w:szCs w:val="22"/>
          <w:lang w:val="en-IE" w:eastAsia="en-US"/>
        </w:rPr>
        <w:t xml:space="preserve"> (2026)</w:t>
      </w:r>
      <w:r w:rsidRPr="002D18F0">
        <w:rPr>
          <w:rFonts w:eastAsia="Calibri"/>
          <w:noProof/>
          <w:sz w:val="22"/>
          <w:szCs w:val="22"/>
          <w:lang w:val="en-IE" w:eastAsia="en-US"/>
        </w:rPr>
        <w:t>,</w:t>
      </w:r>
      <w:r w:rsidRPr="002D18F0">
        <w:rPr>
          <w:rFonts w:eastAsia="Calibri"/>
          <w:i/>
          <w:iCs/>
          <w:noProof/>
          <w:sz w:val="22"/>
          <w:szCs w:val="22"/>
          <w:lang w:val="en-IE" w:eastAsia="en-US"/>
        </w:rPr>
        <w:t xml:space="preserve"> Platform to promote the protection of journalism and safety of journalists.</w:t>
      </w:r>
    </w:p>
    <w:p w14:paraId="4D7E6285" w14:textId="77777777" w:rsidR="00472538" w:rsidRPr="002D18F0" w:rsidRDefault="00472538" w:rsidP="00E61C1D">
      <w:pPr>
        <w:spacing w:after="120"/>
        <w:rPr>
          <w:rFonts w:eastAsia="Calibri"/>
          <w:i/>
          <w:iCs/>
          <w:noProof/>
          <w:sz w:val="22"/>
          <w:szCs w:val="22"/>
          <w:lang w:val="en-IE" w:eastAsia="en-US"/>
        </w:rPr>
      </w:pPr>
      <w:r w:rsidRPr="002D18F0">
        <w:rPr>
          <w:rFonts w:eastAsia="Calibri"/>
          <w:noProof/>
          <w:sz w:val="22"/>
          <w:szCs w:val="22"/>
          <w:lang w:eastAsia="en-US"/>
        </w:rPr>
        <w:t>Council of Europe (2026),</w:t>
      </w:r>
      <w:r w:rsidRPr="002D18F0">
        <w:rPr>
          <w:rFonts w:eastAsia="Calibri"/>
          <w:i/>
          <w:iCs/>
          <w:noProof/>
          <w:sz w:val="22"/>
          <w:szCs w:val="22"/>
          <w:lang w:eastAsia="en-US"/>
        </w:rPr>
        <w:t> Supervision of the execution of judgments decisions of the European Court of Human Rights – 19th Annual Report of the Committee of Ministers – 2025, </w:t>
      </w:r>
      <w:hyperlink r:id="rId28" w:tgtFrame="_blank" w:history="1">
        <w:r w:rsidRPr="002D18F0">
          <w:rPr>
            <w:rStyle w:val="Hyperlink"/>
            <w:rFonts w:eastAsia="Calibri"/>
            <w:i/>
            <w:iCs/>
            <w:noProof/>
            <w:sz w:val="22"/>
            <w:szCs w:val="22"/>
            <w:lang w:val="en-IE" w:eastAsia="en-US"/>
          </w:rPr>
          <w:t>https://rm.coe.int/2025-annual-report/48802b1633</w:t>
        </w:r>
      </w:hyperlink>
      <w:r w:rsidRPr="002D18F0">
        <w:rPr>
          <w:rFonts w:eastAsia="Calibri"/>
          <w:i/>
          <w:iCs/>
          <w:noProof/>
          <w:sz w:val="22"/>
          <w:szCs w:val="22"/>
          <w:lang w:val="en-IE" w:eastAsia="en-US"/>
        </w:rPr>
        <w:t>.  </w:t>
      </w:r>
    </w:p>
    <w:p w14:paraId="04965AAB" w14:textId="5514279B" w:rsidR="00472538" w:rsidRPr="002D18F0" w:rsidRDefault="00472538" w:rsidP="000F51FC">
      <w:pPr>
        <w:spacing w:after="120"/>
        <w:rPr>
          <w:rFonts w:eastAsia="Calibri"/>
          <w:noProof/>
          <w:sz w:val="22"/>
          <w:szCs w:val="22"/>
          <w:lang w:val="en-IE" w:eastAsia="en-US"/>
        </w:rPr>
      </w:pPr>
      <w:r w:rsidRPr="002D18F0">
        <w:rPr>
          <w:rFonts w:eastAsia="Calibri"/>
          <w:noProof/>
          <w:sz w:val="22"/>
          <w:szCs w:val="22"/>
          <w:lang w:val="en-IE" w:eastAsia="en-US"/>
        </w:rPr>
        <w:t xml:space="preserve">Council of Europe, </w:t>
      </w:r>
      <w:r w:rsidRPr="002D18F0">
        <w:rPr>
          <w:rFonts w:eastAsia="Calibri"/>
          <w:i/>
          <w:iCs/>
          <w:noProof/>
          <w:sz w:val="22"/>
          <w:szCs w:val="22"/>
          <w:lang w:val="en-IE" w:eastAsia="en-US"/>
        </w:rPr>
        <w:t>Online database of the Council of Europe</w:t>
      </w:r>
      <w:r w:rsidRPr="002D18F0">
        <w:rPr>
          <w:rFonts w:eastAsia="Calibri"/>
          <w:noProof/>
          <w:sz w:val="22"/>
          <w:szCs w:val="22"/>
          <w:lang w:val="en-IE" w:eastAsia="en-US"/>
        </w:rPr>
        <w:t xml:space="preserve">, </w:t>
      </w:r>
      <w:hyperlink r:id="rId29" w:anchor="{%22sort%22:[%22escpublicationdate%20descending%22],%22escdctype%22:[%22FOND%22,%22Conclusion%22,%22Ob%22]}" w:history="1">
        <w:r w:rsidR="00207283" w:rsidRPr="0065289C">
          <w:rPr>
            <w:rStyle w:val="Hyperlink"/>
            <w:rFonts w:eastAsia="Calibri"/>
            <w:noProof/>
            <w:sz w:val="22"/>
            <w:szCs w:val="22"/>
            <w:lang w:val="en-IE" w:eastAsia="en-US"/>
          </w:rPr>
          <w:t>https://hudoc.esc.coe.int/#{%22sort%22:[%22escpublicationdate%20descending%22],%22escdctype%22:[%22FOND%22,%22Conclusion%22,%22Ob%22]}</w:t>
        </w:r>
      </w:hyperlink>
      <w:r w:rsidR="00207283">
        <w:rPr>
          <w:rFonts w:eastAsia="Calibri"/>
          <w:noProof/>
          <w:sz w:val="22"/>
          <w:szCs w:val="22"/>
          <w:lang w:val="en-IE" w:eastAsia="en-US"/>
        </w:rPr>
        <w:t>.</w:t>
      </w:r>
    </w:p>
    <w:p w14:paraId="1720F723" w14:textId="7A83997F" w:rsidR="00472538" w:rsidRPr="002D18F0" w:rsidRDefault="00472538" w:rsidP="000F51FC">
      <w:pPr>
        <w:spacing w:after="120"/>
        <w:rPr>
          <w:rFonts w:eastAsia="Calibri"/>
          <w:noProof/>
          <w:sz w:val="22"/>
          <w:szCs w:val="22"/>
          <w:lang w:val="en-IE" w:eastAsia="en-US"/>
        </w:rPr>
      </w:pPr>
      <w:r w:rsidRPr="002D18F0">
        <w:rPr>
          <w:rFonts w:eastAsia="Calibri"/>
          <w:noProof/>
          <w:sz w:val="22"/>
          <w:szCs w:val="22"/>
          <w:lang w:val="en-IE" w:eastAsia="en-US"/>
        </w:rPr>
        <w:t xml:space="preserve">CT (2026), Experts must assess if Babiš has resolved the conflict of interest said the President, 24 January 2026, </w:t>
      </w:r>
      <w:hyperlink r:id="rId30" w:history="1">
        <w:r w:rsidRPr="002D18F0">
          <w:rPr>
            <w:rFonts w:eastAsia="Calibri"/>
            <w:noProof/>
            <w:color w:val="467886"/>
            <w:sz w:val="22"/>
            <w:szCs w:val="22"/>
            <w:u w:val="single"/>
            <w:lang w:val="en-IE" w:eastAsia="en-US"/>
          </w:rPr>
          <w:t>https://ct24.ceskatelevize.cz/clanek/domaci/jestli-babis-vyresil-stret-zajmu-musi-posoudit-odbornici-rekl-prezident-369610</w:t>
        </w:r>
      </w:hyperlink>
      <w:r w:rsidRPr="002D18F0">
        <w:rPr>
          <w:rFonts w:eastAsia="Calibri"/>
          <w:noProof/>
          <w:sz w:val="22"/>
          <w:szCs w:val="22"/>
          <w:lang w:val="en-IE" w:eastAsia="en-US"/>
        </w:rPr>
        <w:t>.</w:t>
      </w:r>
    </w:p>
    <w:p w14:paraId="66B5C936" w14:textId="77777777" w:rsidR="00472538" w:rsidRPr="002D18F0" w:rsidRDefault="00472538" w:rsidP="000F51FC">
      <w:pPr>
        <w:spacing w:after="120"/>
        <w:rPr>
          <w:rFonts w:eastAsia="Calibri"/>
          <w:i/>
          <w:iCs/>
          <w:noProof/>
          <w:sz w:val="22"/>
          <w:szCs w:val="22"/>
          <w:lang w:val="en-IE" w:eastAsia="en-US"/>
        </w:rPr>
      </w:pPr>
      <w:r w:rsidRPr="002D18F0">
        <w:rPr>
          <w:rFonts w:eastAsia="Calibri"/>
          <w:noProof/>
          <w:sz w:val="22"/>
          <w:szCs w:val="22"/>
          <w:lang w:val="en-IE" w:eastAsia="en-US"/>
        </w:rPr>
        <w:t xml:space="preserve">Czech Bar Association (2026), </w:t>
      </w:r>
      <w:r w:rsidRPr="002D18F0">
        <w:rPr>
          <w:rFonts w:eastAsia="Calibri"/>
          <w:i/>
          <w:iCs/>
          <w:noProof/>
          <w:sz w:val="22"/>
          <w:szCs w:val="22"/>
          <w:lang w:val="en-IE" w:eastAsia="en-US"/>
        </w:rPr>
        <w:t xml:space="preserve">Input from the Czech Bar Association for the 2026 Rule of Law Report. </w:t>
      </w:r>
    </w:p>
    <w:p w14:paraId="66F5121A" w14:textId="77777777" w:rsidR="00472538" w:rsidRPr="002D18F0" w:rsidRDefault="00472538" w:rsidP="000F51FC">
      <w:pPr>
        <w:spacing w:after="120"/>
        <w:rPr>
          <w:rFonts w:eastAsia="Calibri"/>
          <w:i/>
          <w:iCs/>
          <w:noProof/>
          <w:sz w:val="22"/>
          <w:szCs w:val="22"/>
          <w:lang w:val="en-IE" w:eastAsia="en-US"/>
        </w:rPr>
      </w:pPr>
      <w:r w:rsidRPr="002D18F0">
        <w:rPr>
          <w:rFonts w:eastAsia="Calibri"/>
          <w:noProof/>
          <w:sz w:val="22"/>
          <w:szCs w:val="22"/>
          <w:lang w:val="en-IE" w:eastAsia="en-US"/>
        </w:rPr>
        <w:t xml:space="preserve">Czech Fund for Independent Journalism (2026), </w:t>
      </w:r>
      <w:r w:rsidRPr="002D18F0">
        <w:rPr>
          <w:rFonts w:eastAsia="Calibri"/>
          <w:i/>
          <w:iCs/>
          <w:noProof/>
          <w:sz w:val="22"/>
          <w:szCs w:val="22"/>
          <w:lang w:val="en-IE" w:eastAsia="en-US"/>
        </w:rPr>
        <w:t xml:space="preserve">Input from the Czech Fund for Independent Journalism for the 2026 Rule of Law Report. </w:t>
      </w:r>
    </w:p>
    <w:p w14:paraId="23E81165" w14:textId="7CDF3EF1" w:rsidR="00472538" w:rsidRPr="002D18F0" w:rsidRDefault="00472538" w:rsidP="000F51FC">
      <w:pPr>
        <w:spacing w:after="120"/>
        <w:rPr>
          <w:rFonts w:eastAsia="Calibri"/>
          <w:i/>
          <w:iCs/>
          <w:noProof/>
          <w:sz w:val="22"/>
          <w:szCs w:val="22"/>
          <w:lang w:val="en-IE" w:eastAsia="en-US"/>
        </w:rPr>
      </w:pPr>
      <w:r w:rsidRPr="002D18F0">
        <w:rPr>
          <w:rFonts w:eastAsia="Calibri"/>
          <w:noProof/>
          <w:sz w:val="22"/>
          <w:szCs w:val="22"/>
          <w:lang w:val="en-IE" w:eastAsia="en-US"/>
        </w:rPr>
        <w:t xml:space="preserve">Czech Government (2026), </w:t>
      </w:r>
      <w:r w:rsidRPr="002D18F0">
        <w:rPr>
          <w:rFonts w:eastAsia="Calibri"/>
          <w:i/>
          <w:iCs/>
          <w:noProof/>
          <w:sz w:val="22"/>
          <w:szCs w:val="22"/>
          <w:lang w:val="en-IE" w:eastAsia="en-US"/>
        </w:rPr>
        <w:t xml:space="preserve">Input from the Czech Government for the 2026 Rule of Law Report. </w:t>
      </w:r>
    </w:p>
    <w:p w14:paraId="61BB4C65" w14:textId="1B7EB01F" w:rsidR="000C467D" w:rsidRPr="002D18F0" w:rsidRDefault="000C467D" w:rsidP="000F51FC">
      <w:pPr>
        <w:spacing w:after="120"/>
        <w:rPr>
          <w:rFonts w:eastAsia="Calibri"/>
          <w:noProof/>
          <w:sz w:val="22"/>
          <w:szCs w:val="22"/>
          <w:lang w:val="en-IE" w:eastAsia="en-US"/>
        </w:rPr>
      </w:pPr>
      <w:r w:rsidRPr="002D18F0">
        <w:rPr>
          <w:rFonts w:eastAsia="Calibri"/>
          <w:noProof/>
          <w:sz w:val="22"/>
          <w:szCs w:val="22"/>
          <w:lang w:val="en-IE" w:eastAsia="en-US"/>
        </w:rPr>
        <w:t xml:space="preserve">Czech Government (2026a), Ethical Code for government members, 2 March 2026, </w:t>
      </w:r>
      <w:hyperlink r:id="rId31" w:history="1">
        <w:r w:rsidRPr="002D18F0">
          <w:rPr>
            <w:rFonts w:eastAsia="Calibri"/>
            <w:noProof/>
            <w:color w:val="0563C1"/>
            <w:sz w:val="22"/>
            <w:szCs w:val="22"/>
            <w:u w:val="single"/>
            <w:lang w:val="en-IE" w:eastAsia="en-US"/>
          </w:rPr>
          <w:t>https://vlada.gov.cz/cz/media-centrum/dulezite-dokumenty/eticky-kodex-vlady-225554/</w:t>
        </w:r>
      </w:hyperlink>
      <w:r w:rsidRPr="002D18F0">
        <w:rPr>
          <w:rFonts w:eastAsia="Calibri"/>
          <w:noProof/>
          <w:sz w:val="22"/>
          <w:szCs w:val="22"/>
          <w:lang w:val="en-IE" w:eastAsia="en-US"/>
        </w:rPr>
        <w:t xml:space="preserve"> </w:t>
      </w:r>
      <w:r w:rsidRPr="002D18F0">
        <w:rPr>
          <w:rFonts w:eastAsia="Calibri"/>
          <w:noProof/>
          <w:sz w:val="22"/>
          <w:szCs w:val="22"/>
          <w:lang w:val="en-IE" w:eastAsia="en-US"/>
        </w:rPr>
        <w:tab/>
      </w:r>
    </w:p>
    <w:p w14:paraId="18F00EB5" w14:textId="77777777" w:rsidR="00472538" w:rsidRPr="002D18F0" w:rsidRDefault="00472538" w:rsidP="000F51FC">
      <w:pPr>
        <w:spacing w:after="120"/>
        <w:rPr>
          <w:rFonts w:eastAsia="Calibri"/>
          <w:noProof/>
          <w:sz w:val="22"/>
          <w:szCs w:val="22"/>
          <w:lang w:val="en-IE" w:eastAsia="en-US"/>
        </w:rPr>
      </w:pPr>
      <w:r w:rsidRPr="002D18F0">
        <w:rPr>
          <w:rFonts w:eastAsia="Calibri"/>
          <w:noProof/>
          <w:sz w:val="22"/>
          <w:szCs w:val="22"/>
          <w:lang w:val="en-IE" w:eastAsia="en-US"/>
        </w:rPr>
        <w:t xml:space="preserve">Czech Government (2026b), Programme Statement of the Government of the Czech Republic, </w:t>
      </w:r>
      <w:hyperlink r:id="rId32" w:history="1">
        <w:r w:rsidRPr="002D18F0">
          <w:rPr>
            <w:rFonts w:eastAsia="Calibri"/>
            <w:noProof/>
            <w:color w:val="0563C1"/>
            <w:sz w:val="22"/>
            <w:szCs w:val="22"/>
            <w:u w:val="single"/>
            <w:lang w:val="en-IE" w:eastAsia="en-US"/>
          </w:rPr>
          <w:t>programove-prohlaseni-vlady.pdf</w:t>
        </w:r>
      </w:hyperlink>
      <w:r w:rsidRPr="002D18F0">
        <w:rPr>
          <w:rFonts w:eastAsia="Calibri"/>
          <w:noProof/>
          <w:sz w:val="22"/>
          <w:szCs w:val="22"/>
          <w:lang w:val="en-IE" w:eastAsia="en-US"/>
        </w:rPr>
        <w:t>.</w:t>
      </w:r>
    </w:p>
    <w:p w14:paraId="488FD597" w14:textId="29304679" w:rsidR="004D17B3" w:rsidRDefault="6D33F791" w:rsidP="004D17B3">
      <w:pPr>
        <w:spacing w:after="120"/>
        <w:rPr>
          <w:rFonts w:eastAsia="Calibri"/>
          <w:noProof/>
          <w:sz w:val="22"/>
          <w:szCs w:val="22"/>
          <w:lang w:val="en-IE" w:eastAsia="en-US"/>
        </w:rPr>
      </w:pPr>
      <w:r w:rsidRPr="2CF1EABA">
        <w:rPr>
          <w:rFonts w:eastAsia="Calibri"/>
          <w:noProof/>
          <w:sz w:val="22"/>
          <w:szCs w:val="22"/>
          <w:lang w:val="en-IE" w:eastAsia="en-US"/>
        </w:rPr>
        <w:t xml:space="preserve">Czech Government (2026c), </w:t>
      </w:r>
      <w:r w:rsidRPr="2CF1EABA">
        <w:rPr>
          <w:rFonts w:eastAsia="Calibri"/>
          <w:i/>
          <w:iCs/>
          <w:noProof/>
          <w:sz w:val="22"/>
          <w:szCs w:val="22"/>
          <w:lang w:val="en-IE" w:eastAsia="en-US"/>
        </w:rPr>
        <w:t>Opinion of the Government on the Proposal by deputies Radek Vondráček, David Pražák, Marie Pošarová and Filip Turk to issue an act amending Act No 159/2006 on conflicts of interest, as amended, and other related acts (Chamber of Deputies Document No 221)</w:t>
      </w:r>
      <w:r w:rsidRPr="2CF1EABA">
        <w:rPr>
          <w:rFonts w:eastAsia="Calibri"/>
          <w:noProof/>
          <w:sz w:val="22"/>
          <w:szCs w:val="22"/>
          <w:lang w:val="en-IE" w:eastAsia="en-US"/>
        </w:rPr>
        <w:t xml:space="preserve">, 29 June 2026, </w:t>
      </w:r>
      <w:hyperlink r:id="rId33" w:history="1">
        <w:r w:rsidRPr="2CF1EABA">
          <w:rPr>
            <w:rStyle w:val="Hyperlink"/>
            <w:rFonts w:eastAsia="Calibri"/>
            <w:noProof/>
            <w:sz w:val="22"/>
            <w:szCs w:val="22"/>
            <w:lang w:val="en-IE" w:eastAsia="en-US"/>
          </w:rPr>
          <w:t>https://odok.gov.cz/portal/services/download/attachment/KORNDVHJ2CF1/</w:t>
        </w:r>
      </w:hyperlink>
      <w:r w:rsidRPr="002D18F0">
        <w:rPr>
          <w:rFonts w:eastAsia="Calibri"/>
          <w:noProof/>
          <w:sz w:val="22"/>
          <w:szCs w:val="22"/>
          <w:lang w:val="en-IE" w:eastAsia="en-US"/>
        </w:rPr>
        <w:t xml:space="preserve"> </w:t>
      </w:r>
    </w:p>
    <w:p w14:paraId="7433E8CF" w14:textId="0B1D4225" w:rsidR="42F2812E" w:rsidRDefault="42F2812E" w:rsidP="2CF1EABA">
      <w:pPr>
        <w:spacing w:after="120"/>
        <w:rPr>
          <w:noProof/>
          <w:sz w:val="22"/>
          <w:szCs w:val="22"/>
          <w:lang w:eastAsia="en-GB"/>
        </w:rPr>
      </w:pPr>
      <w:r w:rsidRPr="2CF1EABA">
        <w:rPr>
          <w:noProof/>
          <w:sz w:val="22"/>
          <w:szCs w:val="22"/>
          <w:lang w:eastAsia="en-GB"/>
        </w:rPr>
        <w:t xml:space="preserve">Czech Government (2026d), </w:t>
      </w:r>
      <w:r w:rsidRPr="00EE4175">
        <w:rPr>
          <w:i/>
          <w:iCs/>
          <w:noProof/>
          <w:sz w:val="22"/>
          <w:szCs w:val="22"/>
          <w:lang w:eastAsia="en-GB"/>
        </w:rPr>
        <w:t>additional written input</w:t>
      </w:r>
      <w:r w:rsidRPr="2CF1EABA">
        <w:rPr>
          <w:noProof/>
          <w:sz w:val="22"/>
          <w:szCs w:val="22"/>
          <w:lang w:eastAsia="en-GB"/>
        </w:rPr>
        <w:t xml:space="preserve">.   </w:t>
      </w:r>
    </w:p>
    <w:p w14:paraId="4C710660" w14:textId="77777777" w:rsidR="00472538" w:rsidRPr="002D18F0" w:rsidRDefault="00472538" w:rsidP="00910AFA">
      <w:pPr>
        <w:spacing w:after="120"/>
        <w:rPr>
          <w:i/>
          <w:noProof/>
          <w:sz w:val="22"/>
          <w:szCs w:val="22"/>
          <w:lang w:eastAsia="en-GB"/>
        </w:rPr>
      </w:pPr>
      <w:r w:rsidRPr="002D18F0">
        <w:rPr>
          <w:iCs/>
          <w:noProof/>
          <w:sz w:val="22"/>
          <w:szCs w:val="22"/>
          <w:lang w:eastAsia="en-GB"/>
        </w:rPr>
        <w:t>Directorate-General for Communication (2026),</w:t>
      </w:r>
      <w:r w:rsidRPr="002D18F0">
        <w:rPr>
          <w:i/>
          <w:noProof/>
          <w:sz w:val="22"/>
          <w:szCs w:val="22"/>
          <w:lang w:eastAsia="en-GB"/>
        </w:rPr>
        <w:t xml:space="preserve"> Flash Eurobarometer 582 on businesses’ attitudes towards corruption in the EU and selected candidate countries. </w:t>
      </w:r>
    </w:p>
    <w:p w14:paraId="270E7BCD" w14:textId="77777777" w:rsidR="00472538" w:rsidRPr="002D18F0" w:rsidRDefault="00472538" w:rsidP="00910AFA">
      <w:pPr>
        <w:spacing w:after="120"/>
        <w:rPr>
          <w:i/>
          <w:noProof/>
          <w:sz w:val="22"/>
          <w:szCs w:val="22"/>
          <w:lang w:val="en-IE" w:eastAsia="en-GB"/>
        </w:rPr>
      </w:pPr>
      <w:r w:rsidRPr="002D18F0">
        <w:rPr>
          <w:iCs/>
          <w:noProof/>
          <w:sz w:val="22"/>
          <w:szCs w:val="22"/>
          <w:lang w:eastAsia="en-GB"/>
        </w:rPr>
        <w:t>Directorate-General for Communication (2026),</w:t>
      </w:r>
      <w:r w:rsidRPr="002D18F0">
        <w:rPr>
          <w:i/>
          <w:noProof/>
          <w:sz w:val="22"/>
          <w:szCs w:val="22"/>
          <w:lang w:eastAsia="en-GB"/>
        </w:rPr>
        <w:t xml:space="preserve"> Special Eurobarometer 573 on citizens’ attitudes toward corruption in the EU.</w:t>
      </w:r>
    </w:p>
    <w:p w14:paraId="0D2EC0A2" w14:textId="77777777" w:rsidR="00472538" w:rsidRPr="002D18F0" w:rsidRDefault="00472538" w:rsidP="001B725A">
      <w:pPr>
        <w:spacing w:after="120"/>
        <w:rPr>
          <w:i/>
          <w:iCs/>
          <w:noProof/>
          <w:sz w:val="22"/>
          <w:szCs w:val="22"/>
        </w:rPr>
      </w:pPr>
      <w:r w:rsidRPr="002D18F0">
        <w:rPr>
          <w:noProof/>
          <w:sz w:val="22"/>
          <w:szCs w:val="22"/>
        </w:rPr>
        <w:t xml:space="preserve">ENNHRI (2026), </w:t>
      </w:r>
      <w:r w:rsidRPr="002D18F0">
        <w:rPr>
          <w:i/>
          <w:iCs/>
          <w:noProof/>
          <w:sz w:val="22"/>
          <w:szCs w:val="22"/>
        </w:rPr>
        <w:t xml:space="preserve">Input from ENNHRI for the 2026 Rule of Law Report. </w:t>
      </w:r>
    </w:p>
    <w:p w14:paraId="47BF368E" w14:textId="77777777" w:rsidR="0032147C" w:rsidRPr="002D18F0" w:rsidRDefault="0032147C" w:rsidP="0032147C">
      <w:pPr>
        <w:spacing w:after="120"/>
        <w:rPr>
          <w:rFonts w:eastAsia="Calibri"/>
          <w:noProof/>
          <w:sz w:val="22"/>
          <w:szCs w:val="22"/>
          <w:lang w:val="en-IE" w:eastAsia="en-US"/>
        </w:rPr>
      </w:pPr>
      <w:r w:rsidRPr="002D18F0">
        <w:rPr>
          <w:rFonts w:eastAsia="Calibri"/>
          <w:noProof/>
          <w:sz w:val="22"/>
          <w:szCs w:val="22"/>
          <w:lang w:val="en-IE" w:eastAsia="en-US"/>
        </w:rPr>
        <w:t xml:space="preserve">European Centre for Press and Media Freedom (2026). Czechia: International organisations warn over Czech public service media funding reform. 26 March 2026. </w:t>
      </w:r>
      <w:hyperlink r:id="rId34" w:history="1">
        <w:r w:rsidRPr="002D18F0">
          <w:rPr>
            <w:rFonts w:eastAsia="Calibri"/>
            <w:noProof/>
            <w:color w:val="467886"/>
            <w:sz w:val="22"/>
            <w:szCs w:val="22"/>
            <w:u w:val="single"/>
            <w:lang w:val="en-IE" w:eastAsia="en-US"/>
          </w:rPr>
          <w:t>https://www.ecpmf.eu/czechia-public-service-media-funding-warning/</w:t>
        </w:r>
      </w:hyperlink>
      <w:r w:rsidRPr="002D18F0">
        <w:rPr>
          <w:rFonts w:eastAsia="Calibri"/>
          <w:noProof/>
          <w:sz w:val="22"/>
          <w:szCs w:val="22"/>
          <w:lang w:val="en-IE" w:eastAsia="en-US"/>
        </w:rPr>
        <w:t>.</w:t>
      </w:r>
    </w:p>
    <w:p w14:paraId="187997FD" w14:textId="30DAAFD3" w:rsidR="006D535D" w:rsidRPr="002D18F0" w:rsidRDefault="006D535D" w:rsidP="001B725A">
      <w:pPr>
        <w:spacing w:after="120"/>
        <w:rPr>
          <w:i/>
          <w:iCs/>
          <w:noProof/>
          <w:sz w:val="22"/>
          <w:szCs w:val="22"/>
        </w:rPr>
      </w:pPr>
      <w:r w:rsidRPr="002D18F0">
        <w:rPr>
          <w:noProof/>
          <w:sz w:val="22"/>
          <w:szCs w:val="22"/>
        </w:rPr>
        <w:t>European Centre for Press and Media Freedom (2026).</w:t>
      </w:r>
    </w:p>
    <w:p w14:paraId="55A0B77B" w14:textId="77777777" w:rsidR="00472538" w:rsidRPr="002D18F0" w:rsidRDefault="00472538" w:rsidP="00FB6F08">
      <w:pPr>
        <w:spacing w:after="120"/>
        <w:rPr>
          <w:i/>
          <w:noProof/>
          <w:sz w:val="22"/>
          <w:szCs w:val="22"/>
          <w:lang w:val="en-IE" w:eastAsia="en-GB"/>
        </w:rPr>
      </w:pPr>
      <w:r w:rsidRPr="002D18F0">
        <w:rPr>
          <w:iCs/>
          <w:noProof/>
          <w:sz w:val="22"/>
          <w:szCs w:val="22"/>
          <w:lang w:val="en-IE" w:eastAsia="en-GB"/>
        </w:rPr>
        <w:t xml:space="preserve">European Commission (2023), 2023 Rule of Law Report, </w:t>
      </w:r>
      <w:r w:rsidRPr="002D18F0">
        <w:rPr>
          <w:i/>
          <w:noProof/>
          <w:sz w:val="22"/>
          <w:szCs w:val="22"/>
          <w:lang w:val="en-IE" w:eastAsia="en-GB"/>
        </w:rPr>
        <w:t>Country chapter on the rule of law situation in Czechia.</w:t>
      </w:r>
    </w:p>
    <w:p w14:paraId="11ABBF1B" w14:textId="77777777" w:rsidR="00472538" w:rsidRPr="002D18F0" w:rsidRDefault="00472538" w:rsidP="00B85A3E">
      <w:pPr>
        <w:spacing w:after="120"/>
        <w:rPr>
          <w:i/>
          <w:noProof/>
          <w:sz w:val="22"/>
          <w:szCs w:val="22"/>
          <w:lang w:val="en-IE" w:eastAsia="en-GB"/>
        </w:rPr>
      </w:pPr>
      <w:r w:rsidRPr="002D18F0">
        <w:rPr>
          <w:iCs/>
          <w:noProof/>
          <w:sz w:val="22"/>
          <w:szCs w:val="22"/>
          <w:lang w:val="en-IE" w:eastAsia="en-GB"/>
        </w:rPr>
        <w:t>European Commission (202</w:t>
      </w:r>
      <w:r w:rsidRPr="002D18F0">
        <w:rPr>
          <w:iCs/>
          <w:noProof/>
          <w:sz w:val="22"/>
          <w:szCs w:val="22"/>
          <w:lang w:val="bg-BG" w:eastAsia="en-GB"/>
        </w:rPr>
        <w:t>4</w:t>
      </w:r>
      <w:r w:rsidRPr="002D18F0">
        <w:rPr>
          <w:iCs/>
          <w:noProof/>
          <w:sz w:val="22"/>
          <w:szCs w:val="22"/>
          <w:lang w:val="en-IE" w:eastAsia="en-GB"/>
        </w:rPr>
        <w:t>), 202</w:t>
      </w:r>
      <w:r w:rsidRPr="002D18F0">
        <w:rPr>
          <w:iCs/>
          <w:noProof/>
          <w:sz w:val="22"/>
          <w:szCs w:val="22"/>
          <w:lang w:val="bg-BG" w:eastAsia="en-GB"/>
        </w:rPr>
        <w:t>4</w:t>
      </w:r>
      <w:r w:rsidRPr="002D18F0">
        <w:rPr>
          <w:iCs/>
          <w:noProof/>
          <w:sz w:val="22"/>
          <w:szCs w:val="22"/>
          <w:lang w:val="en-IE" w:eastAsia="en-GB"/>
        </w:rPr>
        <w:t xml:space="preserve"> Rule of Law Report, </w:t>
      </w:r>
      <w:r w:rsidRPr="002D18F0">
        <w:rPr>
          <w:i/>
          <w:noProof/>
          <w:sz w:val="22"/>
          <w:szCs w:val="22"/>
          <w:lang w:val="en-IE" w:eastAsia="en-GB"/>
        </w:rPr>
        <w:t>Country chapter on the rule of law situation in Czechia.</w:t>
      </w:r>
    </w:p>
    <w:p w14:paraId="04CF24FC" w14:textId="77777777" w:rsidR="00472538" w:rsidRPr="002D18F0" w:rsidRDefault="00472538" w:rsidP="00DE1C61">
      <w:pPr>
        <w:spacing w:after="120"/>
        <w:rPr>
          <w:i/>
          <w:noProof/>
          <w:sz w:val="22"/>
          <w:szCs w:val="22"/>
          <w:lang w:val="bg-BG" w:eastAsia="en-GB"/>
        </w:rPr>
      </w:pPr>
      <w:r w:rsidRPr="002D18F0">
        <w:rPr>
          <w:iCs/>
          <w:noProof/>
          <w:sz w:val="22"/>
          <w:szCs w:val="22"/>
          <w:lang w:val="en-IE" w:eastAsia="en-GB"/>
        </w:rPr>
        <w:t xml:space="preserve">European Commission (2025), 2025 Rule of Law Report, </w:t>
      </w:r>
      <w:r w:rsidRPr="002D18F0">
        <w:rPr>
          <w:i/>
          <w:noProof/>
          <w:sz w:val="22"/>
          <w:szCs w:val="22"/>
          <w:lang w:val="en-IE" w:eastAsia="en-GB"/>
        </w:rPr>
        <w:t>Country chapter on the rule of law situation in Czechia.</w:t>
      </w:r>
    </w:p>
    <w:p w14:paraId="19CA978A" w14:textId="77777777" w:rsidR="00472538" w:rsidRPr="002D18F0" w:rsidRDefault="00472538" w:rsidP="00E0775C">
      <w:pPr>
        <w:spacing w:after="120"/>
        <w:rPr>
          <w:iCs/>
          <w:noProof/>
          <w:sz w:val="22"/>
          <w:szCs w:val="22"/>
          <w:lang w:val="en-IE" w:eastAsia="en-GB"/>
        </w:rPr>
      </w:pPr>
      <w:r w:rsidRPr="002D18F0">
        <w:rPr>
          <w:iCs/>
          <w:noProof/>
          <w:sz w:val="22"/>
          <w:szCs w:val="22"/>
          <w:lang w:val="en-IE" w:eastAsia="en-GB"/>
        </w:rPr>
        <w:t xml:space="preserve">European Commission (2025), 2025 Single Market Scoreboard. </w:t>
      </w:r>
    </w:p>
    <w:p w14:paraId="0C244142" w14:textId="0D182C0C" w:rsidR="00472538" w:rsidRPr="00A90295" w:rsidRDefault="00472538" w:rsidP="00E0775C">
      <w:pPr>
        <w:spacing w:after="120"/>
        <w:rPr>
          <w:i/>
          <w:noProof/>
          <w:sz w:val="22"/>
          <w:szCs w:val="22"/>
          <w:lang w:val="en-IE" w:eastAsia="en-GB"/>
        </w:rPr>
      </w:pPr>
      <w:r w:rsidRPr="00A90295">
        <w:rPr>
          <w:noProof/>
          <w:sz w:val="22"/>
          <w:szCs w:val="22"/>
          <w:lang w:val="en-IE" w:eastAsia="en-GB"/>
        </w:rPr>
        <w:t>European Commission (202</w:t>
      </w:r>
      <w:r w:rsidR="002930CE" w:rsidRPr="00A90295">
        <w:rPr>
          <w:noProof/>
          <w:sz w:val="22"/>
          <w:szCs w:val="22"/>
          <w:lang w:val="en-IE" w:eastAsia="en-GB"/>
        </w:rPr>
        <w:t>6</w:t>
      </w:r>
      <w:r w:rsidRPr="00A90295">
        <w:rPr>
          <w:noProof/>
          <w:sz w:val="22"/>
          <w:szCs w:val="22"/>
          <w:lang w:val="en-IE" w:eastAsia="en-GB"/>
        </w:rPr>
        <w:t>), 2026 EU Justice Scoreboard</w:t>
      </w:r>
      <w:r w:rsidRPr="00A90295">
        <w:rPr>
          <w:i/>
          <w:noProof/>
          <w:sz w:val="22"/>
          <w:szCs w:val="22"/>
          <w:lang w:val="en-IE" w:eastAsia="en-GB"/>
        </w:rPr>
        <w:t>.</w:t>
      </w:r>
    </w:p>
    <w:p w14:paraId="65E83653" w14:textId="12AFF213" w:rsidR="00472538" w:rsidRPr="00A90295" w:rsidRDefault="00472538" w:rsidP="00E0775C">
      <w:pPr>
        <w:spacing w:after="120"/>
        <w:rPr>
          <w:i/>
          <w:noProof/>
          <w:sz w:val="22"/>
          <w:szCs w:val="22"/>
          <w:lang w:val="en-IE" w:eastAsia="en-GB"/>
        </w:rPr>
      </w:pPr>
      <w:r w:rsidRPr="00A90295">
        <w:rPr>
          <w:noProof/>
          <w:sz w:val="22"/>
          <w:szCs w:val="22"/>
          <w:lang w:val="en-IE" w:eastAsia="en-GB"/>
        </w:rPr>
        <w:t>European Commission (202</w:t>
      </w:r>
      <w:r w:rsidR="00F42167" w:rsidRPr="00A90295">
        <w:rPr>
          <w:noProof/>
          <w:sz w:val="22"/>
          <w:szCs w:val="22"/>
          <w:lang w:val="en-IE" w:eastAsia="en-GB"/>
        </w:rPr>
        <w:t>5</w:t>
      </w:r>
      <w:r w:rsidRPr="00A90295">
        <w:rPr>
          <w:noProof/>
          <w:sz w:val="22"/>
          <w:szCs w:val="22"/>
          <w:lang w:val="en-IE" w:eastAsia="en-GB"/>
        </w:rPr>
        <w:t>), 202</w:t>
      </w:r>
      <w:r w:rsidR="00F42167" w:rsidRPr="00A90295">
        <w:rPr>
          <w:noProof/>
          <w:sz w:val="22"/>
          <w:szCs w:val="22"/>
          <w:lang w:val="en-IE" w:eastAsia="en-GB"/>
        </w:rPr>
        <w:t>5</w:t>
      </w:r>
      <w:r w:rsidRPr="00A90295">
        <w:rPr>
          <w:noProof/>
          <w:sz w:val="22"/>
          <w:szCs w:val="22"/>
          <w:lang w:val="en-IE" w:eastAsia="en-GB"/>
        </w:rPr>
        <w:t xml:space="preserve"> EU Justice Scoreboard</w:t>
      </w:r>
      <w:r w:rsidRPr="00A90295">
        <w:rPr>
          <w:i/>
          <w:noProof/>
          <w:sz w:val="22"/>
          <w:szCs w:val="22"/>
          <w:lang w:val="en-IE" w:eastAsia="en-GB"/>
        </w:rPr>
        <w:t>.</w:t>
      </w:r>
    </w:p>
    <w:p w14:paraId="1878F495" w14:textId="0CF48E4A" w:rsidR="00472538" w:rsidRPr="002D18F0" w:rsidRDefault="00472538" w:rsidP="00E61C1D">
      <w:pPr>
        <w:spacing w:after="120"/>
        <w:rPr>
          <w:rFonts w:eastAsia="Calibri"/>
          <w:i/>
          <w:iCs/>
          <w:noProof/>
          <w:sz w:val="22"/>
          <w:szCs w:val="22"/>
          <w:lang w:eastAsia="en-US"/>
        </w:rPr>
      </w:pPr>
      <w:r w:rsidRPr="002D18F0">
        <w:rPr>
          <w:rFonts w:eastAsia="Calibri"/>
          <w:noProof/>
          <w:sz w:val="22"/>
          <w:szCs w:val="22"/>
          <w:lang w:eastAsia="en-US"/>
        </w:rPr>
        <w:t xml:space="preserve">European Court of Human Rights, </w:t>
      </w:r>
      <w:r w:rsidRPr="002D18F0">
        <w:rPr>
          <w:rFonts w:eastAsia="Calibri"/>
          <w:i/>
          <w:iCs/>
          <w:noProof/>
          <w:sz w:val="22"/>
          <w:szCs w:val="22"/>
          <w:lang w:eastAsia="en-US"/>
        </w:rPr>
        <w:t xml:space="preserve">Judgement of 13 November 2007, D.H. and Others v. the Czech Republic, 57325/00, </w:t>
      </w:r>
      <w:hyperlink r:id="rId35" w:anchor="{%22itemid%22:[%22001-72317%22]}" w:history="1">
        <w:r w:rsidR="00207283" w:rsidRPr="0065289C">
          <w:rPr>
            <w:rStyle w:val="Hyperlink"/>
            <w:rFonts w:eastAsia="Calibri"/>
            <w:noProof/>
            <w:sz w:val="22"/>
            <w:szCs w:val="22"/>
            <w:lang w:eastAsia="en-US"/>
          </w:rPr>
          <w:t>https://hudoc.echr.coe.int/eng#{%22itemid%22:[%22001-72317%22]}</w:t>
        </w:r>
      </w:hyperlink>
      <w:r w:rsidR="00207283">
        <w:rPr>
          <w:rFonts w:eastAsia="Calibri"/>
          <w:noProof/>
          <w:sz w:val="22"/>
          <w:szCs w:val="22"/>
          <w:lang w:eastAsia="en-US"/>
        </w:rPr>
        <w:t>.</w:t>
      </w:r>
    </w:p>
    <w:p w14:paraId="734BB737" w14:textId="77777777" w:rsidR="00472538" w:rsidRPr="002D18F0" w:rsidRDefault="00472538" w:rsidP="00E61C1D">
      <w:pPr>
        <w:spacing w:after="120"/>
        <w:rPr>
          <w:rFonts w:eastAsia="Calibri"/>
          <w:i/>
          <w:iCs/>
          <w:noProof/>
          <w:sz w:val="22"/>
          <w:szCs w:val="22"/>
          <w:lang w:val="en-IE" w:eastAsia="en-US"/>
        </w:rPr>
      </w:pPr>
      <w:r w:rsidRPr="002D18F0">
        <w:rPr>
          <w:rFonts w:eastAsia="Calibri"/>
          <w:noProof/>
          <w:sz w:val="22"/>
          <w:szCs w:val="22"/>
          <w:lang w:eastAsia="en-US"/>
        </w:rPr>
        <w:t>European Implementation Network (2026),</w:t>
      </w:r>
      <w:r w:rsidRPr="002D18F0">
        <w:rPr>
          <w:rFonts w:eastAsia="Calibri"/>
          <w:i/>
          <w:iCs/>
          <w:noProof/>
          <w:sz w:val="22"/>
          <w:szCs w:val="22"/>
          <w:lang w:eastAsia="en-US"/>
        </w:rPr>
        <w:t> Input from the European Implementation Network for the 2026 Rule of Law Report</w:t>
      </w:r>
      <w:r w:rsidRPr="002D18F0">
        <w:rPr>
          <w:rFonts w:eastAsia="Calibri"/>
          <w:i/>
          <w:iCs/>
          <w:noProof/>
          <w:sz w:val="22"/>
          <w:szCs w:val="22"/>
          <w:lang w:val="en-IE" w:eastAsia="en-US"/>
        </w:rPr>
        <w:t>. </w:t>
      </w:r>
    </w:p>
    <w:p w14:paraId="326D70CB" w14:textId="10CA7AD4" w:rsidR="00662022" w:rsidRPr="002D18F0" w:rsidRDefault="00662022" w:rsidP="00E61C1D">
      <w:pPr>
        <w:spacing w:after="120"/>
        <w:rPr>
          <w:rFonts w:eastAsia="Calibri"/>
          <w:i/>
          <w:iCs/>
          <w:noProof/>
          <w:sz w:val="22"/>
          <w:szCs w:val="22"/>
          <w:lang w:val="en-IE" w:eastAsia="en-US"/>
        </w:rPr>
      </w:pPr>
      <w:r w:rsidRPr="002D18F0">
        <w:rPr>
          <w:rFonts w:eastAsia="Calibri"/>
          <w:noProof/>
          <w:sz w:val="22"/>
          <w:szCs w:val="22"/>
          <w:lang w:val="en-IE" w:eastAsia="en-US"/>
        </w:rPr>
        <w:t xml:space="preserve">European Public Prosecutor’s Office (EPPO) (2026), </w:t>
      </w:r>
      <w:r w:rsidRPr="002D18F0">
        <w:rPr>
          <w:rFonts w:eastAsia="Calibri"/>
          <w:i/>
          <w:iCs/>
          <w:noProof/>
          <w:sz w:val="22"/>
          <w:szCs w:val="22"/>
          <w:lang w:val="en-IE" w:eastAsia="en-US"/>
        </w:rPr>
        <w:t>Input from the European Public Prosecutor’s Office for the 2026 Rule of Law Report.</w:t>
      </w:r>
    </w:p>
    <w:p w14:paraId="3AC0B6F0" w14:textId="49CEF254" w:rsidR="00472538" w:rsidRPr="002D18F0" w:rsidRDefault="00472538" w:rsidP="000F51FC">
      <w:pPr>
        <w:spacing w:after="120"/>
        <w:rPr>
          <w:rFonts w:eastAsia="Calibri"/>
          <w:i/>
          <w:iCs/>
          <w:noProof/>
          <w:sz w:val="22"/>
          <w:szCs w:val="22"/>
          <w:lang w:val="en-IE" w:eastAsia="en-US"/>
        </w:rPr>
      </w:pPr>
      <w:r w:rsidRPr="002D18F0">
        <w:rPr>
          <w:rFonts w:eastAsia="Calibri"/>
          <w:noProof/>
          <w:sz w:val="22"/>
          <w:szCs w:val="22"/>
          <w:lang w:val="en-IE" w:eastAsia="en-US"/>
        </w:rPr>
        <w:t>European Public Prosecutor’s Office (EPPO) (2026</w:t>
      </w:r>
      <w:r w:rsidR="00597C59" w:rsidRPr="002D18F0">
        <w:rPr>
          <w:rFonts w:eastAsia="Calibri"/>
          <w:noProof/>
          <w:sz w:val="22"/>
          <w:szCs w:val="22"/>
          <w:lang w:val="en-IE" w:eastAsia="en-US"/>
        </w:rPr>
        <w:t>a</w:t>
      </w:r>
      <w:r w:rsidRPr="002D18F0">
        <w:rPr>
          <w:rFonts w:eastAsia="Calibri"/>
          <w:noProof/>
          <w:sz w:val="22"/>
          <w:szCs w:val="22"/>
          <w:lang w:val="en-IE" w:eastAsia="en-US"/>
        </w:rPr>
        <w:t xml:space="preserve">), </w:t>
      </w:r>
      <w:r w:rsidRPr="002D18F0">
        <w:rPr>
          <w:rFonts w:eastAsia="Calibri"/>
          <w:i/>
          <w:iCs/>
          <w:noProof/>
          <w:sz w:val="22"/>
          <w:szCs w:val="22"/>
          <w:lang w:val="en-IE" w:eastAsia="en-US"/>
        </w:rPr>
        <w:t xml:space="preserve">Annual Report 2025. </w:t>
      </w:r>
    </w:p>
    <w:p w14:paraId="0E36D5B4" w14:textId="056B0B7E" w:rsidR="00472538" w:rsidRPr="002D18F0" w:rsidRDefault="00472538" w:rsidP="000F51FC">
      <w:pPr>
        <w:spacing w:after="120"/>
        <w:rPr>
          <w:noProof/>
          <w:sz w:val="22"/>
          <w:szCs w:val="22"/>
        </w:rPr>
      </w:pPr>
      <w:r w:rsidRPr="002D18F0">
        <w:rPr>
          <w:rFonts w:eastAsia="Calibri"/>
          <w:noProof/>
          <w:sz w:val="22"/>
          <w:szCs w:val="22"/>
          <w:lang w:val="en-IE" w:eastAsia="en-US"/>
        </w:rPr>
        <w:t xml:space="preserve">Forum24 (2026), “We can hardly expect Babis to follow it” says Transparency International Czechia on the ethical code for government members, 6 March 2026, </w:t>
      </w:r>
      <w:hyperlink r:id="rId36" w:history="1">
        <w:r w:rsidRPr="002D18F0">
          <w:rPr>
            <w:rFonts w:eastAsia="Calibri"/>
            <w:noProof/>
            <w:color w:val="0563C1"/>
            <w:sz w:val="22"/>
            <w:szCs w:val="22"/>
            <w:u w:val="single"/>
            <w:lang w:val="en-IE" w:eastAsia="en-US"/>
          </w:rPr>
          <w:t>https://www.forum24.cz/tezko-muzeme-ocekavat-ze-se-jim-bude-babis-ridit-vzkazuje-transparency-international-ke-kodexu-vlady</w:t>
        </w:r>
      </w:hyperlink>
      <w:r w:rsidR="002D18F0">
        <w:rPr>
          <w:rFonts w:eastAsia="Calibri"/>
          <w:noProof/>
          <w:sz w:val="22"/>
          <w:szCs w:val="22"/>
          <w:lang w:val="en-IE" w:eastAsia="en-US"/>
        </w:rPr>
        <w:t>.</w:t>
      </w:r>
    </w:p>
    <w:p w14:paraId="68B11CED" w14:textId="77777777" w:rsidR="00472538" w:rsidRPr="002D18F0" w:rsidRDefault="00472538" w:rsidP="000F51FC">
      <w:pPr>
        <w:spacing w:after="120"/>
        <w:rPr>
          <w:rFonts w:eastAsia="Calibri"/>
          <w:i/>
          <w:iCs/>
          <w:noProof/>
          <w:sz w:val="22"/>
          <w:szCs w:val="22"/>
          <w:lang w:val="en-IE" w:eastAsia="en-US"/>
        </w:rPr>
      </w:pPr>
      <w:r w:rsidRPr="002D18F0">
        <w:rPr>
          <w:noProof/>
          <w:sz w:val="22"/>
          <w:szCs w:val="22"/>
        </w:rPr>
        <w:t xml:space="preserve">Glopolis (2026), </w:t>
      </w:r>
      <w:r w:rsidRPr="002D18F0">
        <w:rPr>
          <w:i/>
          <w:iCs/>
          <w:noProof/>
          <w:sz w:val="22"/>
          <w:szCs w:val="22"/>
        </w:rPr>
        <w:t xml:space="preserve">Input from Glopolis to the 2026 Rule of Law Report. </w:t>
      </w:r>
    </w:p>
    <w:p w14:paraId="6DAF9553" w14:textId="331E2A9D" w:rsidR="00472538" w:rsidRPr="002D18F0" w:rsidRDefault="00472538" w:rsidP="000F51FC">
      <w:pPr>
        <w:spacing w:after="120"/>
        <w:rPr>
          <w:rFonts w:eastAsia="Calibri"/>
          <w:noProof/>
          <w:sz w:val="22"/>
          <w:szCs w:val="22"/>
          <w:lang w:val="cs-CZ" w:eastAsia="en-US"/>
        </w:rPr>
      </w:pPr>
      <w:r w:rsidRPr="002D18F0">
        <w:rPr>
          <w:rFonts w:eastAsia="Calibri"/>
          <w:noProof/>
          <w:sz w:val="22"/>
          <w:szCs w:val="22"/>
          <w:lang w:val="en-IE" w:eastAsia="en-US"/>
        </w:rPr>
        <w:t xml:space="preserve">GRECO (2016), </w:t>
      </w:r>
      <w:r w:rsidRPr="002D18F0">
        <w:rPr>
          <w:rFonts w:eastAsia="Calibri"/>
          <w:i/>
          <w:iCs/>
          <w:noProof/>
          <w:sz w:val="22"/>
          <w:szCs w:val="22"/>
          <w:lang w:val="en-IE" w:eastAsia="en-US"/>
        </w:rPr>
        <w:t xml:space="preserve">Fourth Evaluation Round – Evaluation report, </w:t>
      </w:r>
      <w:hyperlink r:id="rId37" w:history="1">
        <w:r w:rsidR="002D18F0" w:rsidRPr="002D18F0">
          <w:rPr>
            <w:rStyle w:val="Hyperlink"/>
            <w:rFonts w:eastAsia="Calibri"/>
            <w:noProof/>
            <w:sz w:val="22"/>
            <w:szCs w:val="22"/>
            <w:lang w:val="en-IE" w:eastAsia="en-US"/>
          </w:rPr>
          <w:t>https://rm.coe.int/CoERMPublicCommonSearchServices/DisplayDCTMContent?documentId=09000016806c319b</w:t>
        </w:r>
      </w:hyperlink>
      <w:r w:rsidR="002D18F0" w:rsidRPr="002D18F0">
        <w:rPr>
          <w:rFonts w:eastAsia="Calibri"/>
          <w:noProof/>
          <w:sz w:val="22"/>
          <w:szCs w:val="22"/>
          <w:lang w:val="en-IE" w:eastAsia="en-US"/>
        </w:rPr>
        <w:t>.</w:t>
      </w:r>
    </w:p>
    <w:p w14:paraId="04007A35" w14:textId="6E10EA58" w:rsidR="00472538" w:rsidRPr="002D18F0" w:rsidRDefault="00472538" w:rsidP="000F51FC">
      <w:pPr>
        <w:spacing w:after="120"/>
        <w:rPr>
          <w:rFonts w:eastAsia="Calibri"/>
          <w:noProof/>
          <w:color w:val="000000"/>
          <w:sz w:val="22"/>
          <w:szCs w:val="22"/>
          <w:lang w:val="en-IE" w:eastAsia="en-US"/>
        </w:rPr>
      </w:pPr>
      <w:r w:rsidRPr="002D18F0">
        <w:rPr>
          <w:rFonts w:eastAsia="Calibri"/>
          <w:noProof/>
          <w:color w:val="000000"/>
          <w:sz w:val="22"/>
          <w:szCs w:val="22"/>
          <w:lang w:val="en-IE" w:eastAsia="en-US"/>
        </w:rPr>
        <w:t>GRECO (2023), Fourth Evaluation Round – 2</w:t>
      </w:r>
      <w:r w:rsidRPr="002D18F0">
        <w:rPr>
          <w:rFonts w:eastAsia="Calibri"/>
          <w:noProof/>
          <w:color w:val="000000"/>
          <w:sz w:val="22"/>
          <w:szCs w:val="22"/>
          <w:vertAlign w:val="superscript"/>
          <w:lang w:val="en-IE" w:eastAsia="en-US"/>
        </w:rPr>
        <w:t>nd</w:t>
      </w:r>
      <w:r w:rsidRPr="002D18F0">
        <w:rPr>
          <w:rFonts w:eastAsia="Calibri"/>
          <w:noProof/>
          <w:color w:val="000000"/>
          <w:sz w:val="22"/>
          <w:szCs w:val="22"/>
          <w:lang w:val="en-IE" w:eastAsia="en-US"/>
        </w:rPr>
        <w:t xml:space="preserve"> interim Compliance Report, 16 June 2023, </w:t>
      </w:r>
      <w:hyperlink r:id="rId38" w:history="1">
        <w:r w:rsidRPr="002D18F0">
          <w:rPr>
            <w:rFonts w:eastAsia="Calibri"/>
            <w:noProof/>
            <w:color w:val="0563C1"/>
            <w:sz w:val="22"/>
            <w:szCs w:val="22"/>
            <w:u w:val="single"/>
            <w:lang w:val="en-IE" w:eastAsia="en-US"/>
          </w:rPr>
          <w:t>https://rm.coe.int/fourth-evaluation-round-corruption-prevention-in-respect-of-members-of/1680ab9d3f</w:t>
        </w:r>
      </w:hyperlink>
      <w:r w:rsidR="006B3EC9" w:rsidRPr="002D18F0">
        <w:rPr>
          <w:rFonts w:eastAsia="Calibri"/>
          <w:noProof/>
          <w:sz w:val="22"/>
          <w:szCs w:val="22"/>
          <w:lang w:val="en-IE" w:eastAsia="en-US"/>
        </w:rPr>
        <w:t>.</w:t>
      </w:r>
    </w:p>
    <w:p w14:paraId="215CE9D8" w14:textId="7E646F5B" w:rsidR="00472538" w:rsidRPr="002D18F0" w:rsidRDefault="00472538" w:rsidP="000F51FC">
      <w:pPr>
        <w:spacing w:after="120"/>
        <w:rPr>
          <w:rFonts w:eastAsia="Calibri"/>
          <w:noProof/>
          <w:sz w:val="22"/>
          <w:szCs w:val="22"/>
          <w:lang w:val="en-IE" w:eastAsia="en-US"/>
        </w:rPr>
      </w:pPr>
      <w:r w:rsidRPr="002D18F0">
        <w:rPr>
          <w:rFonts w:eastAsia="Calibri"/>
          <w:noProof/>
          <w:sz w:val="22"/>
          <w:szCs w:val="22"/>
          <w:lang w:val="en-IE" w:eastAsia="en-US"/>
        </w:rPr>
        <w:t xml:space="preserve">GRECO (2026a), Fifth Evaluation Round – Compliance Report – Public Summary, Czechia, 1 June 2026, </w:t>
      </w:r>
      <w:hyperlink r:id="rId39" w:history="1">
        <w:r w:rsidRPr="002D18F0">
          <w:rPr>
            <w:rFonts w:eastAsia="Calibri"/>
            <w:noProof/>
            <w:color w:val="467886"/>
            <w:sz w:val="22"/>
            <w:szCs w:val="22"/>
            <w:u w:val="single"/>
            <w:lang w:val="en-IE" w:eastAsia="en-US"/>
          </w:rPr>
          <w:t>https://rm.coe.int/grecorc5-2025-25-cze-sum-en/48802bfe17</w:t>
        </w:r>
      </w:hyperlink>
      <w:r w:rsidR="006B3EC9" w:rsidRPr="002D18F0">
        <w:rPr>
          <w:rFonts w:eastAsia="Calibri"/>
          <w:noProof/>
          <w:sz w:val="22"/>
          <w:szCs w:val="22"/>
          <w:lang w:val="en-IE" w:eastAsia="en-US"/>
        </w:rPr>
        <w:t>.</w:t>
      </w:r>
    </w:p>
    <w:p w14:paraId="0483CBDA" w14:textId="5999DA9C" w:rsidR="00472538" w:rsidRPr="002D18F0" w:rsidRDefault="00472538" w:rsidP="000F51FC">
      <w:pPr>
        <w:spacing w:after="120"/>
        <w:rPr>
          <w:rFonts w:eastAsia="Calibri"/>
          <w:noProof/>
          <w:sz w:val="22"/>
          <w:szCs w:val="22"/>
          <w:lang w:val="en-US" w:eastAsia="en-US"/>
        </w:rPr>
      </w:pPr>
      <w:r w:rsidRPr="002D18F0">
        <w:rPr>
          <w:rFonts w:eastAsia="Calibri"/>
          <w:noProof/>
          <w:color w:val="000000"/>
          <w:sz w:val="22"/>
          <w:szCs w:val="22"/>
          <w:lang w:val="en-US" w:eastAsia="en-US"/>
        </w:rPr>
        <w:t>GRECO (2026b), Fourth Evaluation Round – 3</w:t>
      </w:r>
      <w:r w:rsidRPr="002D18F0">
        <w:rPr>
          <w:rFonts w:eastAsia="Calibri"/>
          <w:noProof/>
          <w:color w:val="000000"/>
          <w:sz w:val="22"/>
          <w:szCs w:val="22"/>
          <w:vertAlign w:val="superscript"/>
          <w:lang w:val="en-US" w:eastAsia="en-US"/>
        </w:rPr>
        <w:t>rd</w:t>
      </w:r>
      <w:r w:rsidRPr="002D18F0">
        <w:rPr>
          <w:rFonts w:eastAsia="Calibri"/>
          <w:noProof/>
          <w:color w:val="000000"/>
          <w:sz w:val="22"/>
          <w:szCs w:val="22"/>
          <w:lang w:val="en-US" w:eastAsia="en-US"/>
        </w:rPr>
        <w:t xml:space="preserve"> interim Compliance Report, </w:t>
      </w:r>
      <w:r w:rsidRPr="002D18F0">
        <w:rPr>
          <w:rFonts w:eastAsia="Calibri"/>
          <w:noProof/>
          <w:sz w:val="22"/>
          <w:szCs w:val="22"/>
          <w:lang w:val="en-US" w:eastAsia="en-US"/>
        </w:rPr>
        <w:t xml:space="preserve">29 April 2026, </w:t>
      </w:r>
      <w:hyperlink r:id="rId40" w:history="1">
        <w:r w:rsidRPr="002D18F0">
          <w:rPr>
            <w:rFonts w:eastAsia="Calibri"/>
            <w:noProof/>
            <w:color w:val="467886"/>
            <w:sz w:val="22"/>
            <w:szCs w:val="22"/>
            <w:u w:val="single"/>
            <w:lang w:val="en-US" w:eastAsia="en-US"/>
          </w:rPr>
          <w:t>https://rm.coe.int/grecorc4-2024-18-final-eng-3rd-interim-czech-republic-pub/48802b8d66</w:t>
        </w:r>
      </w:hyperlink>
      <w:r w:rsidR="006B3EC9" w:rsidRPr="002D18F0">
        <w:rPr>
          <w:rFonts w:eastAsia="Calibri"/>
          <w:noProof/>
          <w:sz w:val="22"/>
          <w:szCs w:val="22"/>
          <w:lang w:val="en-IE" w:eastAsia="en-US"/>
        </w:rPr>
        <w:t>.</w:t>
      </w:r>
    </w:p>
    <w:p w14:paraId="4F302F81" w14:textId="53D626C3" w:rsidR="00472538" w:rsidRPr="002D18F0" w:rsidRDefault="00472538" w:rsidP="000F51FC">
      <w:pPr>
        <w:spacing w:after="120"/>
        <w:rPr>
          <w:rFonts w:eastAsia="Calibri"/>
          <w:noProof/>
          <w:color w:val="000000"/>
          <w:sz w:val="22"/>
          <w:szCs w:val="22"/>
          <w:lang w:val="en-IE" w:eastAsia="en-US"/>
        </w:rPr>
      </w:pPr>
      <w:r w:rsidRPr="002D18F0">
        <w:rPr>
          <w:rFonts w:eastAsia="Calibri"/>
          <w:noProof/>
          <w:color w:val="000000"/>
          <w:sz w:val="22"/>
          <w:szCs w:val="22"/>
          <w:lang w:val="en-IE" w:eastAsia="en-US"/>
        </w:rPr>
        <w:t xml:space="preserve">GRECO (2026c), Fourth Evaluation Round – addendum to the 2nd Compliance Report, 29 April 2026, </w:t>
      </w:r>
      <w:hyperlink r:id="rId41" w:history="1">
        <w:r w:rsidR="0072797F" w:rsidRPr="002D18F0">
          <w:rPr>
            <w:rStyle w:val="Hyperlink"/>
            <w:rFonts w:eastAsia="Calibri"/>
            <w:noProof/>
            <w:sz w:val="22"/>
            <w:szCs w:val="22"/>
            <w:lang w:val="en-IE" w:eastAsia="en-US"/>
          </w:rPr>
          <w:t>https://rm.coe.int/grecorc4-2026-2-final-eng-add-to-the-2nd-compliance-report-czechia-pub/48802b8d82</w:t>
        </w:r>
      </w:hyperlink>
      <w:r w:rsidR="006B3EC9" w:rsidRPr="002D18F0">
        <w:rPr>
          <w:rFonts w:eastAsia="Calibri"/>
          <w:noProof/>
          <w:sz w:val="22"/>
          <w:szCs w:val="22"/>
          <w:lang w:val="en-IE" w:eastAsia="en-US"/>
        </w:rPr>
        <w:t>.</w:t>
      </w:r>
    </w:p>
    <w:p w14:paraId="069B4261" w14:textId="1810B400" w:rsidR="00472538" w:rsidRPr="002D18F0" w:rsidRDefault="00472538" w:rsidP="000F51FC">
      <w:pPr>
        <w:spacing w:after="120"/>
        <w:rPr>
          <w:noProof/>
          <w:sz w:val="22"/>
          <w:szCs w:val="22"/>
          <w:lang w:val="en-IE" w:eastAsia="en-GB"/>
        </w:rPr>
      </w:pPr>
      <w:r w:rsidRPr="002D18F0">
        <w:rPr>
          <w:noProof/>
          <w:sz w:val="22"/>
          <w:szCs w:val="22"/>
          <w:lang w:val="en-IE" w:eastAsia="en-GB"/>
        </w:rPr>
        <w:t xml:space="preserve">League of Human Rights (2025), Digitalisation Delayed, Justice Denied? </w:t>
      </w:r>
      <w:hyperlink r:id="rId42" w:history="1">
        <w:r w:rsidRPr="002D18F0">
          <w:rPr>
            <w:noProof/>
            <w:color w:val="0563C1"/>
            <w:sz w:val="22"/>
            <w:szCs w:val="22"/>
            <w:u w:val="single"/>
            <w:lang w:val="en-IE" w:eastAsia="en-GB"/>
          </w:rPr>
          <w:t>https://llp.cz/wp-content/uploads/ENG_Report.pdf</w:t>
        </w:r>
      </w:hyperlink>
      <w:r w:rsidR="006B3EC9" w:rsidRPr="002D18F0">
        <w:rPr>
          <w:rFonts w:eastAsia="Calibri"/>
          <w:noProof/>
          <w:sz w:val="22"/>
          <w:szCs w:val="22"/>
          <w:lang w:val="en-IE" w:eastAsia="en-US"/>
        </w:rPr>
        <w:t>.</w:t>
      </w:r>
    </w:p>
    <w:p w14:paraId="4F049FC6" w14:textId="2B73E479" w:rsidR="006753BE" w:rsidRPr="002D18F0" w:rsidRDefault="006753BE" w:rsidP="000F51FC">
      <w:pPr>
        <w:spacing w:after="120"/>
        <w:rPr>
          <w:noProof/>
          <w:sz w:val="22"/>
          <w:szCs w:val="22"/>
          <w:lang w:val="en-IE" w:eastAsia="en-GB"/>
        </w:rPr>
      </w:pPr>
      <w:r w:rsidRPr="002D18F0">
        <w:rPr>
          <w:noProof/>
          <w:sz w:val="22"/>
          <w:szCs w:val="22"/>
          <w:lang w:val="en-IE" w:eastAsia="en-GB"/>
        </w:rPr>
        <w:t xml:space="preserve">Media Freedom Rapid Response (2026) Monitor, </w:t>
      </w:r>
      <w:hyperlink r:id="rId43" w:history="1">
        <w:r w:rsidR="00D96DBB" w:rsidRPr="002D18F0">
          <w:rPr>
            <w:rStyle w:val="Hyperlink"/>
            <w:noProof/>
            <w:sz w:val="22"/>
            <w:szCs w:val="22"/>
            <w:lang w:val="en-IE" w:eastAsia="en-GB"/>
          </w:rPr>
          <w:t>https://www.mfrr.eu/monitor/</w:t>
        </w:r>
      </w:hyperlink>
      <w:r w:rsidR="006B3EC9" w:rsidRPr="002D18F0">
        <w:rPr>
          <w:rFonts w:eastAsia="Calibri"/>
          <w:noProof/>
          <w:sz w:val="22"/>
          <w:szCs w:val="22"/>
          <w:lang w:val="en-IE" w:eastAsia="en-US"/>
        </w:rPr>
        <w:t>.</w:t>
      </w:r>
      <w:r w:rsidR="00D96DBB" w:rsidRPr="002D18F0">
        <w:rPr>
          <w:noProof/>
          <w:sz w:val="22"/>
          <w:szCs w:val="22"/>
          <w:lang w:val="en-IE" w:eastAsia="en-GB"/>
        </w:rPr>
        <w:t xml:space="preserve"> </w:t>
      </w:r>
    </w:p>
    <w:p w14:paraId="0D4E46E7" w14:textId="3B3F398C" w:rsidR="00472538" w:rsidRPr="002D18F0" w:rsidRDefault="00472538" w:rsidP="000F51FC">
      <w:pPr>
        <w:spacing w:after="120"/>
        <w:rPr>
          <w:rFonts w:eastAsia="Calibri"/>
          <w:noProof/>
          <w:sz w:val="22"/>
          <w:szCs w:val="22"/>
          <w:lang w:val="en-IE" w:eastAsia="en-US"/>
        </w:rPr>
      </w:pPr>
      <w:r w:rsidRPr="002D18F0">
        <w:rPr>
          <w:rFonts w:eastAsia="Calibri"/>
          <w:noProof/>
          <w:sz w:val="22"/>
          <w:szCs w:val="22"/>
          <w:lang w:val="en-IE" w:eastAsia="en-US"/>
        </w:rPr>
        <w:t>Ministry of Justice (2026b), Evaluation of the implementation of the measures referred to</w:t>
      </w:r>
      <w:r w:rsidR="00022AA2" w:rsidRPr="002D18F0">
        <w:rPr>
          <w:rFonts w:eastAsia="Calibri"/>
          <w:noProof/>
          <w:sz w:val="22"/>
          <w:szCs w:val="22"/>
          <w:lang w:val="en-IE" w:eastAsia="en-US"/>
        </w:rPr>
        <w:t>.</w:t>
      </w:r>
    </w:p>
    <w:p w14:paraId="0F02C039" w14:textId="645C8877" w:rsidR="00472538" w:rsidRPr="002D18F0" w:rsidRDefault="604ED3E4" w:rsidP="000F51FC">
      <w:pPr>
        <w:spacing w:after="120"/>
        <w:rPr>
          <w:rFonts w:eastAsia="Calibri"/>
          <w:noProof/>
          <w:sz w:val="22"/>
          <w:szCs w:val="22"/>
          <w:lang w:val="en-IE" w:eastAsia="en-US"/>
        </w:rPr>
      </w:pPr>
      <w:r w:rsidRPr="002D18F0">
        <w:rPr>
          <w:rFonts w:eastAsia="Calibri"/>
          <w:noProof/>
          <w:sz w:val="22"/>
          <w:szCs w:val="22"/>
          <w:lang w:val="en-IE" w:eastAsia="en-US"/>
        </w:rPr>
        <w:t>Office for the Protection of Competition (2026),</w:t>
      </w:r>
      <w:r w:rsidR="66331B66" w:rsidRPr="002D18F0">
        <w:rPr>
          <w:rFonts w:eastAsia="Calibri"/>
          <w:noProof/>
          <w:sz w:val="22"/>
          <w:szCs w:val="22"/>
          <w:lang w:val="en-IE" w:eastAsia="en-US"/>
        </w:rPr>
        <w:t xml:space="preserve"> </w:t>
      </w:r>
      <w:r w:rsidR="3AE052F6" w:rsidRPr="002D18F0">
        <w:rPr>
          <w:rFonts w:eastAsia="Calibri"/>
          <w:i/>
          <w:iCs/>
          <w:noProof/>
          <w:sz w:val="22"/>
          <w:szCs w:val="22"/>
          <w:lang w:val="en-IE" w:eastAsia="en-US"/>
        </w:rPr>
        <w:t>I</w:t>
      </w:r>
      <w:r w:rsidR="66331B66" w:rsidRPr="002D18F0">
        <w:rPr>
          <w:rFonts w:eastAsia="Calibri"/>
          <w:i/>
          <w:iCs/>
          <w:noProof/>
          <w:sz w:val="22"/>
          <w:szCs w:val="22"/>
          <w:lang w:val="en-IE" w:eastAsia="en-US"/>
        </w:rPr>
        <w:t>nput</w:t>
      </w:r>
      <w:r w:rsidR="3AE052F6" w:rsidRPr="002D18F0">
        <w:rPr>
          <w:rFonts w:eastAsia="Calibri"/>
          <w:i/>
          <w:iCs/>
          <w:noProof/>
          <w:sz w:val="22"/>
          <w:szCs w:val="22"/>
          <w:lang w:val="en-IE" w:eastAsia="en-US"/>
        </w:rPr>
        <w:t xml:space="preserve"> from the Office for the Protection of Competition for the 2026 Rule of Law Report</w:t>
      </w:r>
      <w:r w:rsidR="66331B66" w:rsidRPr="002D18F0">
        <w:rPr>
          <w:rFonts w:eastAsia="Calibri"/>
          <w:noProof/>
          <w:sz w:val="22"/>
          <w:szCs w:val="22"/>
          <w:lang w:val="en-IE" w:eastAsia="en-US"/>
        </w:rPr>
        <w:t>.</w:t>
      </w:r>
    </w:p>
    <w:p w14:paraId="7794F5F0" w14:textId="77777777" w:rsidR="00472538" w:rsidRPr="002D18F0" w:rsidRDefault="00472538" w:rsidP="000F51FC">
      <w:pPr>
        <w:spacing w:after="120"/>
        <w:rPr>
          <w:rFonts w:eastAsia="Calibri"/>
          <w:i/>
          <w:iCs/>
          <w:noProof/>
          <w:sz w:val="22"/>
          <w:szCs w:val="22"/>
          <w:lang w:val="en-IE" w:eastAsia="en-US"/>
        </w:rPr>
      </w:pPr>
      <w:r w:rsidRPr="002D18F0">
        <w:rPr>
          <w:rFonts w:eastAsia="Calibri"/>
          <w:noProof/>
          <w:sz w:val="22"/>
          <w:szCs w:val="22"/>
          <w:lang w:val="en-IE" w:eastAsia="en-US"/>
        </w:rPr>
        <w:t xml:space="preserve">Office of the Prosecutor General (2026), </w:t>
      </w:r>
      <w:r w:rsidRPr="002D18F0">
        <w:rPr>
          <w:rFonts w:eastAsia="Calibri"/>
          <w:i/>
          <w:iCs/>
          <w:noProof/>
          <w:sz w:val="22"/>
          <w:szCs w:val="22"/>
          <w:lang w:val="en-IE" w:eastAsia="en-US"/>
        </w:rPr>
        <w:t xml:space="preserve">Input from the Office of the Prosecutor General for the 2026 Rule of Law Report. </w:t>
      </w:r>
    </w:p>
    <w:p w14:paraId="28ABF0F9" w14:textId="77777777" w:rsidR="00941A97" w:rsidRPr="002D18F0" w:rsidRDefault="00472538" w:rsidP="000F51FC">
      <w:pPr>
        <w:spacing w:after="120"/>
        <w:rPr>
          <w:rFonts w:eastAsia="Calibri"/>
          <w:i/>
          <w:iCs/>
          <w:noProof/>
          <w:sz w:val="22"/>
          <w:szCs w:val="22"/>
          <w:lang w:val="en-IE" w:eastAsia="en-US"/>
        </w:rPr>
      </w:pPr>
      <w:r w:rsidRPr="002D18F0">
        <w:rPr>
          <w:rFonts w:eastAsia="Calibri"/>
          <w:noProof/>
          <w:sz w:val="22"/>
          <w:szCs w:val="22"/>
          <w:lang w:val="en-IE" w:eastAsia="en-US"/>
        </w:rPr>
        <w:t xml:space="preserve">Oziveni (2026), </w:t>
      </w:r>
      <w:r w:rsidRPr="002D18F0">
        <w:rPr>
          <w:rFonts w:eastAsia="Calibri"/>
          <w:i/>
          <w:iCs/>
          <w:noProof/>
          <w:sz w:val="22"/>
          <w:szCs w:val="22"/>
          <w:lang w:val="en-IE" w:eastAsia="en-US"/>
        </w:rPr>
        <w:t xml:space="preserve">Input from Oziveni to 2026 Rule of Law Report. </w:t>
      </w:r>
    </w:p>
    <w:p w14:paraId="674852CD" w14:textId="49E1E745" w:rsidR="00472538" w:rsidRPr="002D18F0" w:rsidRDefault="00472538" w:rsidP="000F51FC">
      <w:pPr>
        <w:spacing w:after="120"/>
        <w:rPr>
          <w:rFonts w:eastAsia="Calibri"/>
          <w:noProof/>
          <w:sz w:val="22"/>
          <w:szCs w:val="22"/>
          <w:lang w:val="en-IE" w:eastAsia="en-US"/>
        </w:rPr>
      </w:pPr>
      <w:r w:rsidRPr="002D18F0">
        <w:rPr>
          <w:rFonts w:eastAsia="Calibri"/>
          <w:noProof/>
          <w:sz w:val="22"/>
          <w:szCs w:val="22"/>
          <w:lang w:val="en-IE" w:eastAsia="en-US"/>
        </w:rPr>
        <w:t xml:space="preserve">Seznam Zpravy (2026), The Ministry is covering up who stopped questions about Babiš's conflict of interest, 12 April 2026, </w:t>
      </w:r>
      <w:hyperlink r:id="rId44" w:history="1">
        <w:r w:rsidRPr="002D18F0">
          <w:rPr>
            <w:rFonts w:eastAsia="Calibri"/>
            <w:noProof/>
            <w:color w:val="467886"/>
            <w:sz w:val="22"/>
            <w:szCs w:val="22"/>
            <w:u w:val="single"/>
            <w:lang w:val="en-IE" w:eastAsia="en-US"/>
          </w:rPr>
          <w:t>https://www.seznamzpravy.cz/clanek/domaci-kauzy-ministerstvo-tutla-kdo-zarazil-dotazy-na-babisuv-stret-zajmu-303616</w:t>
        </w:r>
      </w:hyperlink>
      <w:r w:rsidR="006B3EC9" w:rsidRPr="002D18F0">
        <w:rPr>
          <w:rFonts w:eastAsia="Calibri"/>
          <w:noProof/>
          <w:sz w:val="22"/>
          <w:szCs w:val="22"/>
          <w:lang w:val="en-IE" w:eastAsia="en-US"/>
        </w:rPr>
        <w:t>.</w:t>
      </w:r>
    </w:p>
    <w:p w14:paraId="5C9D7436" w14:textId="77777777" w:rsidR="00472538" w:rsidRPr="002D18F0" w:rsidRDefault="00472538" w:rsidP="000F51FC">
      <w:pPr>
        <w:spacing w:after="120"/>
        <w:rPr>
          <w:rFonts w:eastAsia="Calibri"/>
          <w:i/>
          <w:iCs/>
          <w:noProof/>
          <w:sz w:val="20"/>
          <w:lang w:val="en-IE" w:eastAsia="en-US"/>
        </w:rPr>
      </w:pPr>
      <w:r w:rsidRPr="002D18F0">
        <w:rPr>
          <w:noProof/>
          <w:sz w:val="22"/>
          <w:szCs w:val="18"/>
          <w:lang w:val="en-IE"/>
        </w:rPr>
        <w:t xml:space="preserve">STEM-Network for the Protection of Democracy (2026), </w:t>
      </w:r>
      <w:r w:rsidRPr="002D18F0">
        <w:rPr>
          <w:i/>
          <w:iCs/>
          <w:noProof/>
          <w:sz w:val="22"/>
          <w:szCs w:val="18"/>
          <w:lang w:val="en-IE"/>
        </w:rPr>
        <w:t>Input from the STEM-Network for the Protection of Democracy for the 2026 Rule of Law Report.</w:t>
      </w:r>
      <w:r w:rsidRPr="002D18F0">
        <w:rPr>
          <w:noProof/>
          <w:sz w:val="22"/>
          <w:szCs w:val="18"/>
          <w:lang w:val="en-IE"/>
        </w:rPr>
        <w:t xml:space="preserve"> </w:t>
      </w:r>
    </w:p>
    <w:p w14:paraId="1F80317B" w14:textId="77777777" w:rsidR="00472538" w:rsidRPr="002D18F0" w:rsidRDefault="00472538" w:rsidP="000F51FC">
      <w:pPr>
        <w:spacing w:after="120"/>
        <w:rPr>
          <w:rFonts w:eastAsia="Calibri"/>
          <w:noProof/>
          <w:sz w:val="22"/>
          <w:szCs w:val="22"/>
          <w:lang w:val="en-IE" w:eastAsia="en-US"/>
        </w:rPr>
      </w:pPr>
      <w:r w:rsidRPr="002D18F0">
        <w:rPr>
          <w:rFonts w:eastAsia="Calibri"/>
          <w:noProof/>
          <w:sz w:val="22"/>
          <w:szCs w:val="22"/>
          <w:lang w:val="en-IE" w:eastAsia="en-US"/>
        </w:rPr>
        <w:t xml:space="preserve">The Action Plan against Corruption 2025 – 2026 for the year 2025, March 2026, </w:t>
      </w:r>
      <w:hyperlink r:id="rId45" w:history="1">
        <w:r w:rsidRPr="002D18F0">
          <w:rPr>
            <w:rFonts w:eastAsia="Calibri"/>
            <w:noProof/>
            <w:color w:val="467886"/>
            <w:sz w:val="22"/>
            <w:szCs w:val="22"/>
            <w:u w:val="single"/>
            <w:lang w:val="en-IE" w:eastAsia="en-US"/>
          </w:rPr>
          <w:t>https://korupce.cz/wp-content/uploads/2026/04/Zhodnoceni-plneni-opatreni-uvedenych-v-Akcnim-planu-boje-proti-korupci-na-roky-2025-a-2026-za-rok-2025.pdf</w:t>
        </w:r>
      </w:hyperlink>
      <w:r w:rsidRPr="002D18F0">
        <w:rPr>
          <w:rFonts w:eastAsia="Calibri"/>
          <w:noProof/>
          <w:sz w:val="22"/>
          <w:szCs w:val="22"/>
          <w:lang w:val="en-IE" w:eastAsia="en-US"/>
        </w:rPr>
        <w:t>.</w:t>
      </w:r>
    </w:p>
    <w:p w14:paraId="13F70AD0" w14:textId="77777777" w:rsidR="00472538" w:rsidRPr="002D18F0" w:rsidRDefault="00472538" w:rsidP="000F51FC">
      <w:pPr>
        <w:spacing w:after="120"/>
        <w:rPr>
          <w:rFonts w:eastAsia="Calibri"/>
          <w:noProof/>
          <w:color w:val="000000"/>
          <w:sz w:val="22"/>
          <w:szCs w:val="22"/>
          <w:lang w:val="en-IE" w:eastAsia="en-US"/>
        </w:rPr>
      </w:pPr>
      <w:r w:rsidRPr="002D18F0">
        <w:rPr>
          <w:rFonts w:eastAsia="Calibri"/>
          <w:noProof/>
          <w:sz w:val="22"/>
          <w:szCs w:val="22"/>
          <w:lang w:val="en-IE" w:eastAsia="en-US"/>
        </w:rPr>
        <w:t xml:space="preserve">Transparency International Czechia (2025a), The former Fiala-government did not make enough systemic and legislative changes to combat corruption, 17 December 2025, </w:t>
      </w:r>
      <w:hyperlink r:id="rId46" w:history="1">
        <w:r w:rsidRPr="002D18F0">
          <w:rPr>
            <w:rFonts w:eastAsia="Calibri"/>
            <w:noProof/>
            <w:color w:val="0563C1"/>
            <w:sz w:val="22"/>
            <w:szCs w:val="22"/>
            <w:u w:val="single"/>
            <w:lang w:val="en-IE" w:eastAsia="en-US"/>
          </w:rPr>
          <w:t>https://www.transparency.cz/byvala-fialova-vlada-neudelala-potrebne-systemove-a-legislativni-zmeny-omezujici-korupci-v-cesku/</w:t>
        </w:r>
      </w:hyperlink>
      <w:r w:rsidRPr="002D18F0">
        <w:rPr>
          <w:rFonts w:eastAsia="MS Mincho"/>
          <w:noProof/>
          <w:sz w:val="22"/>
          <w:szCs w:val="22"/>
          <w:lang w:val="en-US" w:eastAsia="ja-JP"/>
        </w:rPr>
        <w:t>.</w:t>
      </w:r>
    </w:p>
    <w:p w14:paraId="076679D9" w14:textId="77777777" w:rsidR="00472538" w:rsidRPr="002D18F0" w:rsidRDefault="00472538" w:rsidP="000F51FC">
      <w:pPr>
        <w:spacing w:after="120"/>
        <w:rPr>
          <w:rFonts w:eastAsia="Calibri"/>
          <w:noProof/>
          <w:sz w:val="22"/>
          <w:szCs w:val="22"/>
          <w:lang w:val="en-IE" w:eastAsia="en-US"/>
        </w:rPr>
      </w:pPr>
      <w:r w:rsidRPr="002D18F0">
        <w:rPr>
          <w:rFonts w:eastAsia="Calibri"/>
          <w:noProof/>
          <w:sz w:val="22"/>
          <w:szCs w:val="22"/>
          <w:lang w:val="en-IE" w:eastAsia="en-US"/>
        </w:rPr>
        <w:t xml:space="preserve">Transparency International Czechia (2026a) The government of Andrej Babiš is proposing a new law on the civil service, which will jeopardize the independence of the state administration, 23 January 2026, </w:t>
      </w:r>
      <w:hyperlink r:id="rId47" w:history="1">
        <w:r w:rsidRPr="002D18F0">
          <w:rPr>
            <w:rFonts w:eastAsia="Calibri"/>
            <w:noProof/>
            <w:color w:val="0563C1"/>
            <w:sz w:val="22"/>
            <w:szCs w:val="22"/>
            <w:u w:val="single"/>
            <w:lang w:val="en-IE" w:eastAsia="en-US"/>
          </w:rPr>
          <w:t>https://www.transparency.cz/vlada-andreje-babise-navrhuje-novy-zakon-o-statnich-zamestnancich-ktery-ohrozi-nezavisly-vykon-statni-spravy/</w:t>
        </w:r>
      </w:hyperlink>
      <w:r w:rsidRPr="002D18F0">
        <w:rPr>
          <w:rFonts w:eastAsia="MS Mincho"/>
          <w:noProof/>
          <w:sz w:val="22"/>
          <w:szCs w:val="22"/>
          <w:lang w:val="en-US" w:eastAsia="ja-JP"/>
        </w:rPr>
        <w:t>.</w:t>
      </w:r>
    </w:p>
    <w:p w14:paraId="015D3AB9" w14:textId="77777777" w:rsidR="00472538" w:rsidRPr="002D18F0" w:rsidRDefault="00472538" w:rsidP="000F51FC">
      <w:pPr>
        <w:spacing w:after="120"/>
        <w:rPr>
          <w:rFonts w:eastAsia="Calibri"/>
          <w:noProof/>
          <w:sz w:val="22"/>
          <w:szCs w:val="22"/>
          <w:lang w:val="en-IE" w:eastAsia="en-US"/>
        </w:rPr>
      </w:pPr>
      <w:r w:rsidRPr="002D18F0">
        <w:rPr>
          <w:rFonts w:eastAsia="Calibri"/>
          <w:noProof/>
          <w:sz w:val="22"/>
          <w:szCs w:val="22"/>
          <w:lang w:val="en-IE" w:eastAsia="en-US"/>
        </w:rPr>
        <w:t xml:space="preserve">Transparency International Czechia (2026b), Minister Tejc ends corruption prevention program, 20 February 2026, </w:t>
      </w:r>
      <w:hyperlink r:id="rId48" w:history="1">
        <w:r w:rsidRPr="002D18F0">
          <w:rPr>
            <w:rFonts w:eastAsia="Calibri"/>
            <w:noProof/>
            <w:color w:val="0563C1"/>
            <w:sz w:val="22"/>
            <w:szCs w:val="22"/>
            <w:u w:val="single"/>
            <w:lang w:val="en-IE" w:eastAsia="en-US"/>
          </w:rPr>
          <w:t>https://www.transparency.cz/ministr-tejc-skrtl-program-prevence-korupce-ten-po-dvou-dekadach-zanika-a-s-nim-i-statem-podporovana-protikorupcni-pravni-pomoc/</w:t>
        </w:r>
      </w:hyperlink>
      <w:r w:rsidRPr="002D18F0">
        <w:rPr>
          <w:rFonts w:eastAsia="Calibri"/>
          <w:noProof/>
          <w:sz w:val="22"/>
          <w:szCs w:val="22"/>
          <w:lang w:val="en-IE" w:eastAsia="en-US"/>
        </w:rPr>
        <w:t>.</w:t>
      </w:r>
    </w:p>
    <w:p w14:paraId="70A28A38" w14:textId="77777777" w:rsidR="00472538" w:rsidRPr="002D18F0" w:rsidRDefault="00472538" w:rsidP="000F51FC">
      <w:pPr>
        <w:spacing w:after="120"/>
        <w:rPr>
          <w:rFonts w:eastAsia="Calibri"/>
          <w:noProof/>
          <w:sz w:val="22"/>
          <w:szCs w:val="22"/>
          <w:lang w:val="en-IE" w:eastAsia="en-US"/>
        </w:rPr>
      </w:pPr>
      <w:r w:rsidRPr="002D18F0">
        <w:rPr>
          <w:rFonts w:eastAsia="Calibri"/>
          <w:noProof/>
          <w:sz w:val="22"/>
          <w:szCs w:val="22"/>
          <w:lang w:val="en-IE" w:eastAsia="en-US"/>
        </w:rPr>
        <w:t xml:space="preserve">Transparency International Czechia (2026c), Chairman of the Office for Protection of Competition Mlsna will have a key decision to make on the Metro D project for 30 billion crowns, 4 March 2026,  </w:t>
      </w:r>
      <w:hyperlink r:id="rId49" w:history="1">
        <w:r w:rsidRPr="002D18F0">
          <w:rPr>
            <w:rFonts w:eastAsia="Calibri"/>
            <w:noProof/>
            <w:color w:val="0563C1"/>
            <w:sz w:val="22"/>
            <w:szCs w:val="22"/>
            <w:u w:val="single"/>
            <w:lang w:val="en-IE" w:eastAsia="en-US"/>
          </w:rPr>
          <w:t>https://www.transparency.cz/predseda-uohs-mlsna-bude-mit-na-stole-klicove-rozhodnuti-o-projektu-metra- d-za-30-miliard-korun/</w:t>
        </w:r>
      </w:hyperlink>
      <w:r w:rsidRPr="002D18F0">
        <w:rPr>
          <w:rFonts w:eastAsia="Calibri"/>
          <w:noProof/>
          <w:sz w:val="22"/>
          <w:szCs w:val="22"/>
          <w:lang w:val="en-IE" w:eastAsia="en-US"/>
        </w:rPr>
        <w:t>.</w:t>
      </w:r>
    </w:p>
    <w:p w14:paraId="269D7D55" w14:textId="77777777" w:rsidR="00472538" w:rsidRPr="002D18F0" w:rsidRDefault="00472538" w:rsidP="000F51FC">
      <w:pPr>
        <w:spacing w:after="120"/>
        <w:rPr>
          <w:rFonts w:eastAsia="Calibri"/>
          <w:noProof/>
          <w:sz w:val="22"/>
          <w:szCs w:val="22"/>
          <w:lang w:val="en-IE" w:eastAsia="en-US"/>
        </w:rPr>
      </w:pPr>
      <w:r w:rsidRPr="002D18F0">
        <w:rPr>
          <w:rFonts w:eastAsia="Calibri"/>
          <w:noProof/>
          <w:sz w:val="22"/>
          <w:szCs w:val="22"/>
          <w:lang w:val="en-IE" w:eastAsia="en-US"/>
        </w:rPr>
        <w:t xml:space="preserve">Transparency International Czechia (2026d), TI warns against the possible re-election of Petr Mlsna to the head of the Office for Protection of Competition and calls for a transparent selection procedure, 3 March 2026, </w:t>
      </w:r>
      <w:hyperlink r:id="rId50" w:history="1">
        <w:r w:rsidRPr="002D18F0">
          <w:rPr>
            <w:rFonts w:eastAsia="Calibri"/>
            <w:noProof/>
            <w:color w:val="0563C1"/>
            <w:sz w:val="22"/>
            <w:szCs w:val="22"/>
            <w:u w:val="single"/>
            <w:lang w:val="en-IE" w:eastAsia="en-US"/>
          </w:rPr>
          <w:t>https://www.transparency.cz/ti-varuje-pred-moznym-znovuzvolenim-petra-mlsny-do-cela-uohs-a-pozaduje-transparentni-vyberove-rizeni/</w:t>
        </w:r>
      </w:hyperlink>
      <w:r w:rsidRPr="002D18F0">
        <w:rPr>
          <w:rFonts w:eastAsia="Calibri"/>
          <w:noProof/>
          <w:sz w:val="22"/>
          <w:szCs w:val="22"/>
          <w:lang w:val="en-IE" w:eastAsia="en-US"/>
        </w:rPr>
        <w:t>.</w:t>
      </w:r>
    </w:p>
    <w:p w14:paraId="02DDF5FB" w14:textId="77777777" w:rsidR="00472538" w:rsidRPr="002D18F0" w:rsidRDefault="00472538" w:rsidP="000F51FC">
      <w:pPr>
        <w:spacing w:after="120"/>
        <w:rPr>
          <w:noProof/>
          <w:sz w:val="22"/>
          <w:szCs w:val="22"/>
          <w:lang w:val="en-IE" w:eastAsia="en-GB"/>
        </w:rPr>
      </w:pPr>
      <w:r w:rsidRPr="002D18F0">
        <w:rPr>
          <w:rFonts w:eastAsia="Calibri"/>
          <w:noProof/>
          <w:sz w:val="22"/>
          <w:szCs w:val="22"/>
          <w:lang w:val="en-IE" w:eastAsia="en-US"/>
        </w:rPr>
        <w:t xml:space="preserve">Transparency International Czechia (2026e), The government is cutting anti-corruption advice while enforcing “pro-corruption” legislation, 23 February 2026, </w:t>
      </w:r>
      <w:hyperlink r:id="rId51" w:history="1">
        <w:r w:rsidRPr="002D18F0">
          <w:rPr>
            <w:rFonts w:eastAsia="Calibri"/>
            <w:noProof/>
            <w:color w:val="0563C1"/>
            <w:sz w:val="22"/>
            <w:szCs w:val="22"/>
            <w:u w:val="single"/>
            <w:lang w:val="en-IE" w:eastAsia="en-US"/>
          </w:rPr>
          <w:t>https://www.transparency.cz/vlada-omezuje-protikorupcni-poradenstvi-ruku-v-ruce-s-prosazovanim-prokorupcni-legislativy/</w:t>
        </w:r>
      </w:hyperlink>
      <w:r w:rsidRPr="002D18F0">
        <w:rPr>
          <w:rFonts w:eastAsia="Calibri"/>
          <w:noProof/>
          <w:sz w:val="22"/>
          <w:szCs w:val="22"/>
          <w:lang w:val="en-IE" w:eastAsia="en-US"/>
        </w:rPr>
        <w:t xml:space="preserve">. </w:t>
      </w:r>
    </w:p>
    <w:p w14:paraId="18325855" w14:textId="77777777" w:rsidR="00472538" w:rsidRPr="002D18F0" w:rsidRDefault="00472538" w:rsidP="000F51FC">
      <w:pPr>
        <w:spacing w:after="120"/>
        <w:rPr>
          <w:noProof/>
          <w:sz w:val="22"/>
          <w:szCs w:val="22"/>
          <w:lang w:val="en-IE" w:eastAsia="en-GB"/>
        </w:rPr>
      </w:pPr>
      <w:r w:rsidRPr="002D18F0">
        <w:rPr>
          <w:noProof/>
          <w:sz w:val="22"/>
          <w:szCs w:val="22"/>
          <w:lang w:val="en-IE" w:eastAsia="en-GB"/>
        </w:rPr>
        <w:t xml:space="preserve">Union of Judges (2026), Statement of the Council of the Union of Judges (Prohlášení Republikové rady SU ČR), </w:t>
      </w:r>
      <w:hyperlink r:id="rId52" w:history="1">
        <w:r w:rsidRPr="002D18F0">
          <w:rPr>
            <w:noProof/>
            <w:color w:val="467886"/>
            <w:sz w:val="22"/>
            <w:szCs w:val="22"/>
            <w:u w:val="single"/>
            <w:lang w:val="en-IE" w:eastAsia="en-GB"/>
          </w:rPr>
          <w:t>https://www.soudci.cz/zpravy-a-stanoviska/pohledy-a-nazory/2130</w:t>
        </w:r>
      </w:hyperlink>
      <w:r w:rsidRPr="002D18F0">
        <w:rPr>
          <w:noProof/>
          <w:sz w:val="22"/>
          <w:szCs w:val="22"/>
          <w:lang w:val="en-IE" w:eastAsia="en-GB"/>
        </w:rPr>
        <w:t>.</w:t>
      </w:r>
    </w:p>
    <w:p w14:paraId="5E73668F" w14:textId="77777777" w:rsidR="00472538" w:rsidRPr="002D18F0" w:rsidRDefault="00472538" w:rsidP="000F51FC">
      <w:pPr>
        <w:spacing w:after="120"/>
        <w:rPr>
          <w:noProof/>
          <w:sz w:val="22"/>
          <w:szCs w:val="22"/>
          <w:lang w:val="en-IE" w:eastAsia="en-GB"/>
        </w:rPr>
      </w:pPr>
      <w:r w:rsidRPr="002D18F0">
        <w:rPr>
          <w:noProof/>
          <w:sz w:val="22"/>
          <w:szCs w:val="22"/>
          <w:lang w:val="en-IE" w:eastAsia="en-GB"/>
        </w:rPr>
        <w:t xml:space="preserve">Venice Commission (2010), </w:t>
      </w:r>
      <w:r w:rsidRPr="002D18F0">
        <w:rPr>
          <w:i/>
          <w:iCs/>
          <w:noProof/>
          <w:sz w:val="22"/>
          <w:szCs w:val="22"/>
          <w:lang w:val="en-IE" w:eastAsia="en-GB"/>
        </w:rPr>
        <w:t xml:space="preserve">CM/Rec(2010)12 Recommendation of the Council of Ministers of the Council of Europe, </w:t>
      </w:r>
      <w:hyperlink r:id="rId53" w:history="1">
        <w:r w:rsidRPr="002D18F0">
          <w:rPr>
            <w:rStyle w:val="Hyperlink"/>
            <w:noProof/>
          </w:rPr>
          <w:t>https://search.coe.int/cm?i=09000016805afb78</w:t>
        </w:r>
      </w:hyperlink>
    </w:p>
    <w:p w14:paraId="0C3256D7" w14:textId="77777777" w:rsidR="00472538" w:rsidRPr="002D18F0" w:rsidRDefault="00472538" w:rsidP="000F51FC">
      <w:pPr>
        <w:spacing w:after="120"/>
        <w:rPr>
          <w:noProof/>
          <w:sz w:val="22"/>
          <w:szCs w:val="22"/>
          <w:lang w:val="en-IE" w:eastAsia="en-GB"/>
        </w:rPr>
      </w:pPr>
      <w:r w:rsidRPr="002D18F0">
        <w:rPr>
          <w:noProof/>
          <w:sz w:val="22"/>
          <w:szCs w:val="22"/>
          <w:lang w:val="en-IE" w:eastAsia="en-GB"/>
        </w:rPr>
        <w:t xml:space="preserve">Venice Commission (2013), CDL-AD(2013)038, </w:t>
      </w:r>
      <w:r w:rsidRPr="002D18F0">
        <w:rPr>
          <w:noProof/>
          <w:sz w:val="22"/>
          <w:szCs w:val="22"/>
          <w:lang w:val="en-US" w:eastAsia="en-GB"/>
        </w:rPr>
        <w:t xml:space="preserve">Opinion on the Legislation on Defamation in Italy, </w:t>
      </w:r>
      <w:hyperlink r:id="rId54" w:history="1">
        <w:r w:rsidRPr="002D18F0">
          <w:rPr>
            <w:noProof/>
            <w:color w:val="467886"/>
            <w:sz w:val="22"/>
            <w:szCs w:val="22"/>
            <w:u w:val="single"/>
            <w:lang w:val="en-US" w:eastAsia="en-GB"/>
          </w:rPr>
          <w:t>https://www.coe.int/en/web/venice-commission/-/cdl-ad-2013-038-e</w:t>
        </w:r>
      </w:hyperlink>
      <w:r w:rsidRPr="002D18F0">
        <w:rPr>
          <w:noProof/>
          <w:sz w:val="22"/>
          <w:szCs w:val="22"/>
          <w:lang w:val="en-US" w:eastAsia="en-GB"/>
        </w:rPr>
        <w:t>.</w:t>
      </w:r>
    </w:p>
    <w:p w14:paraId="023A3640" w14:textId="77777777" w:rsidR="00472538" w:rsidRPr="002D18F0" w:rsidRDefault="00472538" w:rsidP="000F51FC">
      <w:pPr>
        <w:spacing w:after="120"/>
        <w:rPr>
          <w:noProof/>
          <w:sz w:val="22"/>
          <w:szCs w:val="22"/>
          <w:lang w:val="en-IE" w:eastAsia="en-GB"/>
        </w:rPr>
      </w:pPr>
      <w:r w:rsidRPr="002D18F0">
        <w:rPr>
          <w:noProof/>
          <w:sz w:val="22"/>
          <w:szCs w:val="22"/>
          <w:lang w:val="en-IE" w:eastAsia="en-GB"/>
        </w:rPr>
        <w:t xml:space="preserve">Venice Commission (2025), CDL-AD(2025)002, Rule of Law Checklist, </w:t>
      </w:r>
      <w:hyperlink r:id="rId55" w:history="1">
        <w:r w:rsidRPr="002D18F0">
          <w:rPr>
            <w:noProof/>
            <w:color w:val="0563C1"/>
            <w:sz w:val="22"/>
            <w:szCs w:val="22"/>
            <w:u w:val="single"/>
            <w:lang w:val="en-IE" w:eastAsia="en-GB"/>
          </w:rPr>
          <w:t>https://www.venice.coe.int/webforms/documents/default.aspx?pdffile=CDL-AD(2025)002-e</w:t>
        </w:r>
      </w:hyperlink>
      <w:r w:rsidRPr="002D18F0">
        <w:rPr>
          <w:noProof/>
          <w:sz w:val="22"/>
          <w:szCs w:val="22"/>
          <w:lang w:val="en-IE" w:eastAsia="en-GB"/>
        </w:rPr>
        <w:t>.</w:t>
      </w:r>
    </w:p>
    <w:p w14:paraId="48425BB8" w14:textId="77777777" w:rsidR="00712441" w:rsidRPr="002D18F0" w:rsidRDefault="00712441" w:rsidP="000F51FC">
      <w:pPr>
        <w:spacing w:after="120"/>
        <w:rPr>
          <w:noProof/>
          <w:sz w:val="22"/>
          <w:szCs w:val="22"/>
          <w:lang w:val="en-IE" w:eastAsia="en-GB"/>
        </w:rPr>
      </w:pPr>
    </w:p>
    <w:p w14:paraId="3956AEE0" w14:textId="77777777" w:rsidR="000F51FC" w:rsidRPr="000F51FC" w:rsidRDefault="000F51FC" w:rsidP="000F51FC">
      <w:pPr>
        <w:pageBreakBefore/>
        <w:spacing w:after="120" w:line="264" w:lineRule="auto"/>
        <w:rPr>
          <w:b/>
          <w:noProof/>
          <w:lang w:val="en-IE" w:eastAsia="en-GB"/>
        </w:rPr>
      </w:pPr>
      <w:r w:rsidRPr="000F51FC">
        <w:rPr>
          <w:b/>
          <w:noProof/>
          <w:lang w:val="en-IE" w:eastAsia="en-GB"/>
        </w:rPr>
        <w:t>Annex II: Country visit to Czechia</w:t>
      </w:r>
    </w:p>
    <w:p w14:paraId="4D7F996C" w14:textId="77777777" w:rsidR="000F51FC" w:rsidRPr="000F51FC" w:rsidRDefault="000F51FC" w:rsidP="000F51FC">
      <w:pPr>
        <w:spacing w:after="120" w:line="264" w:lineRule="auto"/>
        <w:rPr>
          <w:noProof/>
          <w:szCs w:val="24"/>
          <w:shd w:val="clear" w:color="auto" w:fill="FFFFFF"/>
          <w:lang w:val="en-IE" w:eastAsia="en-GB"/>
        </w:rPr>
      </w:pPr>
      <w:r w:rsidRPr="000F51FC">
        <w:rPr>
          <w:noProof/>
          <w:szCs w:val="24"/>
          <w:lang w:val="en-IE" w:eastAsia="en-GB"/>
        </w:rPr>
        <w:t>The Commission services held virtual meetings in March 2026 with:</w:t>
      </w:r>
    </w:p>
    <w:p w14:paraId="332D9A1A" w14:textId="77777777" w:rsidR="000F51FC" w:rsidRPr="000F51FC" w:rsidRDefault="000F51FC" w:rsidP="000F51FC">
      <w:pPr>
        <w:numPr>
          <w:ilvl w:val="0"/>
          <w:numId w:val="21"/>
        </w:numPr>
        <w:spacing w:after="0" w:line="256" w:lineRule="auto"/>
        <w:ind w:left="714" w:hanging="357"/>
        <w:contextualSpacing/>
        <w:jc w:val="left"/>
        <w:rPr>
          <w:noProof/>
          <w:szCs w:val="24"/>
          <w:lang w:val="en-IE" w:eastAsia="ja-JP"/>
        </w:rPr>
      </w:pPr>
      <w:r w:rsidRPr="000F51FC">
        <w:rPr>
          <w:noProof/>
          <w:szCs w:val="24"/>
          <w:lang w:val="en-IE" w:eastAsia="ja-JP"/>
        </w:rPr>
        <w:t>Administration of the Parliament (replies received in writing)</w:t>
      </w:r>
    </w:p>
    <w:p w14:paraId="777DB76D"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Anti-Corruption Council of the Government</w:t>
      </w:r>
    </w:p>
    <w:p w14:paraId="2CF2C497"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Association of Small and Medium Enterprises</w:t>
      </w:r>
    </w:p>
    <w:p w14:paraId="786C8F39"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Association of Private Broadcasters</w:t>
      </w:r>
    </w:p>
    <w:p w14:paraId="77BF6AA6"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Constitutional Court</w:t>
      </w:r>
    </w:p>
    <w:p w14:paraId="056B66B5" w14:textId="77777777" w:rsid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Czech Bar Association</w:t>
      </w:r>
    </w:p>
    <w:p w14:paraId="43C8F37E" w14:textId="21A9A7FE" w:rsidR="002F3062" w:rsidRPr="001A5AD4" w:rsidRDefault="002F3062" w:rsidP="000F51FC">
      <w:pPr>
        <w:numPr>
          <w:ilvl w:val="0"/>
          <w:numId w:val="21"/>
        </w:numPr>
        <w:spacing w:after="0" w:line="254" w:lineRule="auto"/>
        <w:contextualSpacing/>
        <w:jc w:val="left"/>
        <w:rPr>
          <w:noProof/>
          <w:szCs w:val="24"/>
          <w:lang w:val="en-IE" w:eastAsia="en-US"/>
        </w:rPr>
      </w:pPr>
      <w:r w:rsidRPr="001A5AD4">
        <w:rPr>
          <w:noProof/>
          <w:szCs w:val="24"/>
          <w:lang w:val="en-IE" w:eastAsia="en-US"/>
        </w:rPr>
        <w:t>Czech Syndicate of Journalists</w:t>
      </w:r>
    </w:p>
    <w:p w14:paraId="044FDFBC"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Council for Radio and Television Broadcasting</w:t>
      </w:r>
    </w:p>
    <w:p w14:paraId="0746E8B2"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Endowment for Independent Journalism (replies received in writing)</w:t>
      </w:r>
    </w:p>
    <w:p w14:paraId="4659AD62"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European Centre for Press and Media Freedom</w:t>
      </w:r>
    </w:p>
    <w:p w14:paraId="795D75B2"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League of Human Rights</w:t>
      </w:r>
    </w:p>
    <w:p w14:paraId="1179197D"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Lobbio</w:t>
      </w:r>
    </w:p>
    <w:p w14:paraId="6DD39292"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Ministry of Culture</w:t>
      </w:r>
    </w:p>
    <w:p w14:paraId="68AAD3C9"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Ministry of Interior</w:t>
      </w:r>
    </w:p>
    <w:p w14:paraId="7C8BC3D2"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Ministry of Justice</w:t>
      </w:r>
    </w:p>
    <w:p w14:paraId="18E44E85" w14:textId="3FE09DE5"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 xml:space="preserve">National </w:t>
      </w:r>
      <w:r w:rsidR="002451B6">
        <w:rPr>
          <w:noProof/>
          <w:szCs w:val="24"/>
          <w:lang w:val="en-IE" w:eastAsia="en-US"/>
        </w:rPr>
        <w:t xml:space="preserve">Agency against </w:t>
      </w:r>
      <w:r w:rsidRPr="000F51FC">
        <w:rPr>
          <w:noProof/>
          <w:szCs w:val="24"/>
          <w:lang w:val="en-IE" w:eastAsia="en-US"/>
        </w:rPr>
        <w:t xml:space="preserve">Organized Crime </w:t>
      </w:r>
    </w:p>
    <w:p w14:paraId="09A50848"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NeoN/Glopolis</w:t>
      </w:r>
    </w:p>
    <w:p w14:paraId="1B3B5BF8"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Network for the Protection of Democracy/STEM</w:t>
      </w:r>
    </w:p>
    <w:p w14:paraId="4F43FA35"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Office for the Protection of Competition (replies received in writing)</w:t>
      </w:r>
    </w:p>
    <w:p w14:paraId="7DE2972C"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Office for the Supervision of the Finances of Political Parties and Movements (replies received in writing)</w:t>
      </w:r>
    </w:p>
    <w:p w14:paraId="78CE5D9B" w14:textId="1626B135"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Office of the Government</w:t>
      </w:r>
      <w:r w:rsidR="00987278">
        <w:rPr>
          <w:noProof/>
          <w:szCs w:val="24"/>
          <w:lang w:val="en-IE" w:eastAsia="en-US"/>
        </w:rPr>
        <w:t xml:space="preserve"> (civil society section)</w:t>
      </w:r>
    </w:p>
    <w:p w14:paraId="1FE9EF6F" w14:textId="6011DAAD" w:rsidR="000F51FC" w:rsidRPr="000F51FC" w:rsidRDefault="00F33B52" w:rsidP="000F51FC">
      <w:pPr>
        <w:numPr>
          <w:ilvl w:val="0"/>
          <w:numId w:val="21"/>
        </w:numPr>
        <w:spacing w:after="0" w:line="254" w:lineRule="auto"/>
        <w:contextualSpacing/>
        <w:jc w:val="left"/>
        <w:rPr>
          <w:noProof/>
          <w:szCs w:val="24"/>
          <w:lang w:val="en-IE" w:eastAsia="en-US"/>
        </w:rPr>
      </w:pPr>
      <w:r>
        <w:rPr>
          <w:noProof/>
          <w:szCs w:val="24"/>
          <w:lang w:val="en-IE" w:eastAsia="en-US"/>
        </w:rPr>
        <w:t>Office of the Prosecutor General</w:t>
      </w:r>
    </w:p>
    <w:p w14:paraId="6C932CFE" w14:textId="09795600" w:rsidR="000F51FC" w:rsidRPr="000F51FC" w:rsidRDefault="00C81D94" w:rsidP="000F51FC">
      <w:pPr>
        <w:numPr>
          <w:ilvl w:val="0"/>
          <w:numId w:val="21"/>
        </w:numPr>
        <w:spacing w:after="0" w:line="254" w:lineRule="auto"/>
        <w:contextualSpacing/>
        <w:jc w:val="left"/>
        <w:rPr>
          <w:noProof/>
          <w:szCs w:val="24"/>
          <w:lang w:val="en-US" w:eastAsia="en-US"/>
        </w:rPr>
      </w:pPr>
      <w:r>
        <w:rPr>
          <w:noProof/>
          <w:szCs w:val="24"/>
          <w:lang w:val="en-US" w:eastAsia="en-US"/>
        </w:rPr>
        <w:t xml:space="preserve">Office of the </w:t>
      </w:r>
      <w:r w:rsidR="000F51FC" w:rsidRPr="000F51FC">
        <w:rPr>
          <w:noProof/>
          <w:szCs w:val="24"/>
          <w:lang w:val="en-US" w:eastAsia="en-US"/>
        </w:rPr>
        <w:t xml:space="preserve">Public Defender of Rights </w:t>
      </w:r>
    </w:p>
    <w:p w14:paraId="65320AE6"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 xml:space="preserve">Supreme Administrative Court </w:t>
      </w:r>
    </w:p>
    <w:p w14:paraId="4BD918DC"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Supreme Audit Office (replies received in writing)</w:t>
      </w:r>
    </w:p>
    <w:p w14:paraId="629B7AB3"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Supreme Court</w:t>
      </w:r>
    </w:p>
    <w:p w14:paraId="18DC89F5"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Transparency International Czech Republic</w:t>
      </w:r>
    </w:p>
    <w:p w14:paraId="5FA54BA7"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Union of Judges</w:t>
      </w:r>
    </w:p>
    <w:p w14:paraId="635439BB" w14:textId="78F7B3AD"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Union of Prosecutors</w:t>
      </w:r>
    </w:p>
    <w:p w14:paraId="3137A2A3" w14:textId="77777777" w:rsidR="000F51FC" w:rsidRPr="000F51FC" w:rsidRDefault="000F51FC" w:rsidP="000F51FC">
      <w:pPr>
        <w:numPr>
          <w:ilvl w:val="0"/>
          <w:numId w:val="21"/>
        </w:numPr>
        <w:spacing w:after="0" w:line="254" w:lineRule="auto"/>
        <w:contextualSpacing/>
        <w:jc w:val="left"/>
        <w:rPr>
          <w:noProof/>
          <w:szCs w:val="24"/>
          <w:lang w:val="en-IE" w:eastAsia="en-US"/>
        </w:rPr>
      </w:pPr>
      <w:r w:rsidRPr="000F51FC">
        <w:rPr>
          <w:noProof/>
          <w:szCs w:val="24"/>
          <w:lang w:val="en-IE" w:eastAsia="en-US"/>
        </w:rPr>
        <w:t>Změna k lepšímu</w:t>
      </w:r>
    </w:p>
    <w:p w14:paraId="3E6709AD" w14:textId="77777777" w:rsidR="000F51FC" w:rsidRPr="000F51FC" w:rsidRDefault="000F51FC" w:rsidP="000F51FC">
      <w:pPr>
        <w:spacing w:after="0" w:line="256" w:lineRule="auto"/>
        <w:ind w:left="714" w:hanging="357"/>
        <w:contextualSpacing/>
        <w:rPr>
          <w:rFonts w:eastAsia="Calibri"/>
          <w:noProof/>
          <w:szCs w:val="24"/>
          <w:lang w:val="en-IE" w:eastAsia="en-US"/>
        </w:rPr>
      </w:pPr>
    </w:p>
    <w:p w14:paraId="11EB101C" w14:textId="77777777" w:rsidR="000F51FC" w:rsidRPr="000F51FC" w:rsidRDefault="000F51FC" w:rsidP="000F51FC">
      <w:pPr>
        <w:spacing w:after="120" w:line="264" w:lineRule="auto"/>
        <w:rPr>
          <w:noProof/>
          <w:shd w:val="clear" w:color="auto" w:fill="FFFFFF"/>
          <w:lang w:val="en-IE" w:eastAsia="en-GB"/>
        </w:rPr>
      </w:pPr>
    </w:p>
    <w:p w14:paraId="01D5C8FC" w14:textId="77777777" w:rsidR="000F51FC" w:rsidRPr="000F51FC" w:rsidRDefault="000F51FC" w:rsidP="000F51FC">
      <w:pPr>
        <w:spacing w:after="120" w:line="264" w:lineRule="auto"/>
        <w:rPr>
          <w:noProof/>
          <w:lang w:val="en-IE" w:eastAsia="en-GB"/>
        </w:rPr>
      </w:pPr>
      <w:r w:rsidRPr="000F51FC">
        <w:rPr>
          <w:noProof/>
          <w:lang w:val="en-IE" w:eastAsia="en-GB"/>
        </w:rPr>
        <w:t xml:space="preserve">* The Commission also met the following organisations in a number of horizontal meetings: </w:t>
      </w:r>
    </w:p>
    <w:p w14:paraId="018C119D" w14:textId="77777777" w:rsidR="000F51FC" w:rsidRPr="000F51FC" w:rsidRDefault="000F51FC" w:rsidP="000F51FC">
      <w:pPr>
        <w:numPr>
          <w:ilvl w:val="0"/>
          <w:numId w:val="22"/>
        </w:numPr>
        <w:spacing w:after="0" w:line="264" w:lineRule="auto"/>
        <w:ind w:left="714" w:hanging="357"/>
        <w:jc w:val="left"/>
        <w:rPr>
          <w:noProof/>
          <w:lang w:val="en-IE" w:eastAsia="en-GB"/>
        </w:rPr>
      </w:pPr>
      <w:r w:rsidRPr="000F51FC">
        <w:rPr>
          <w:noProof/>
          <w:lang w:val="en-IE" w:eastAsia="en-GB"/>
        </w:rPr>
        <w:t>Civil Liberties Union for Europe</w:t>
      </w:r>
    </w:p>
    <w:p w14:paraId="758C7200" w14:textId="77777777" w:rsidR="000F51FC" w:rsidRPr="000F51FC" w:rsidRDefault="000F51FC" w:rsidP="000F51FC">
      <w:pPr>
        <w:numPr>
          <w:ilvl w:val="0"/>
          <w:numId w:val="22"/>
        </w:numPr>
        <w:spacing w:after="0" w:line="264" w:lineRule="auto"/>
        <w:ind w:left="714" w:hanging="357"/>
        <w:jc w:val="left"/>
        <w:rPr>
          <w:noProof/>
          <w:lang w:val="en-IE" w:eastAsia="en-GB"/>
        </w:rPr>
      </w:pPr>
      <w:r w:rsidRPr="000F51FC">
        <w:rPr>
          <w:noProof/>
          <w:lang w:val="en-IE" w:eastAsia="en-GB"/>
        </w:rPr>
        <w:t>Civil Society Europe</w:t>
      </w:r>
    </w:p>
    <w:p w14:paraId="27FE6328" w14:textId="77777777" w:rsidR="000F51FC" w:rsidRPr="000F51FC" w:rsidRDefault="000F51FC" w:rsidP="000F51FC">
      <w:pPr>
        <w:numPr>
          <w:ilvl w:val="0"/>
          <w:numId w:val="22"/>
        </w:numPr>
        <w:spacing w:after="0" w:line="264" w:lineRule="auto"/>
        <w:ind w:left="714" w:hanging="357"/>
        <w:jc w:val="left"/>
        <w:rPr>
          <w:noProof/>
          <w:lang w:val="en-IE" w:eastAsia="en-GB"/>
        </w:rPr>
      </w:pPr>
      <w:r w:rsidRPr="000F51FC">
        <w:rPr>
          <w:noProof/>
          <w:lang w:val="en-IE" w:eastAsia="en-GB"/>
        </w:rPr>
        <w:t>End FGM EU</w:t>
      </w:r>
    </w:p>
    <w:p w14:paraId="652EB13F" w14:textId="77777777" w:rsidR="000F51FC" w:rsidRPr="000F51FC" w:rsidRDefault="000F51FC" w:rsidP="000F51FC">
      <w:pPr>
        <w:numPr>
          <w:ilvl w:val="0"/>
          <w:numId w:val="22"/>
        </w:numPr>
        <w:spacing w:after="0" w:line="264" w:lineRule="auto"/>
        <w:ind w:left="714" w:hanging="357"/>
        <w:jc w:val="left"/>
        <w:rPr>
          <w:noProof/>
          <w:lang w:val="en-IE" w:eastAsia="en-GB"/>
        </w:rPr>
      </w:pPr>
      <w:r w:rsidRPr="000F51FC">
        <w:rPr>
          <w:noProof/>
          <w:lang w:val="en-IE" w:eastAsia="en-GB"/>
        </w:rPr>
        <w:t>European Civic Forum</w:t>
      </w:r>
    </w:p>
    <w:p w14:paraId="4B52B52C" w14:textId="77777777" w:rsidR="000F51FC" w:rsidRPr="000F51FC" w:rsidRDefault="000F51FC" w:rsidP="000F51FC">
      <w:pPr>
        <w:numPr>
          <w:ilvl w:val="0"/>
          <w:numId w:val="22"/>
        </w:numPr>
        <w:spacing w:after="0" w:line="264" w:lineRule="auto"/>
        <w:ind w:left="714" w:hanging="357"/>
        <w:jc w:val="left"/>
        <w:rPr>
          <w:noProof/>
          <w:lang w:val="en-IE" w:eastAsia="en-GB"/>
        </w:rPr>
      </w:pPr>
      <w:r w:rsidRPr="000F51FC">
        <w:rPr>
          <w:noProof/>
          <w:lang w:val="en-IE" w:eastAsia="en-GB"/>
        </w:rPr>
        <w:t>European Partnership for Democracy</w:t>
      </w:r>
    </w:p>
    <w:p w14:paraId="3EFD396B" w14:textId="77777777" w:rsidR="000F51FC" w:rsidRPr="000F51FC" w:rsidRDefault="000F51FC" w:rsidP="000F51FC">
      <w:pPr>
        <w:numPr>
          <w:ilvl w:val="0"/>
          <w:numId w:val="22"/>
        </w:numPr>
        <w:spacing w:after="0" w:line="264" w:lineRule="auto"/>
        <w:ind w:left="714" w:hanging="357"/>
        <w:jc w:val="left"/>
        <w:rPr>
          <w:noProof/>
          <w:lang w:val="en-IE" w:eastAsia="en-GB"/>
        </w:rPr>
      </w:pPr>
      <w:r w:rsidRPr="000F51FC">
        <w:rPr>
          <w:noProof/>
          <w:lang w:val="en-IE" w:eastAsia="en-GB"/>
        </w:rPr>
        <w:t>Human Rights Watch</w:t>
      </w:r>
    </w:p>
    <w:p w14:paraId="13908EF2" w14:textId="77777777" w:rsidR="000F51FC" w:rsidRPr="000F51FC" w:rsidRDefault="000F51FC" w:rsidP="000F51FC">
      <w:pPr>
        <w:numPr>
          <w:ilvl w:val="0"/>
          <w:numId w:val="22"/>
        </w:numPr>
        <w:spacing w:after="0" w:line="264" w:lineRule="auto"/>
        <w:ind w:left="714" w:hanging="357"/>
        <w:jc w:val="left"/>
        <w:rPr>
          <w:noProof/>
          <w:lang w:val="en-IE" w:eastAsia="en-GB"/>
        </w:rPr>
      </w:pPr>
      <w:r w:rsidRPr="000F51FC">
        <w:rPr>
          <w:noProof/>
          <w:lang w:val="en-IE" w:eastAsia="en-GB"/>
        </w:rPr>
        <w:t>ILGA-Europe</w:t>
      </w:r>
    </w:p>
    <w:p w14:paraId="2BC8A1EC" w14:textId="77777777" w:rsidR="000F51FC" w:rsidRPr="000F51FC" w:rsidRDefault="000F51FC" w:rsidP="000F51FC">
      <w:pPr>
        <w:numPr>
          <w:ilvl w:val="0"/>
          <w:numId w:val="22"/>
        </w:numPr>
        <w:spacing w:after="0" w:line="264" w:lineRule="auto"/>
        <w:ind w:left="714" w:hanging="357"/>
        <w:jc w:val="left"/>
        <w:rPr>
          <w:noProof/>
          <w:lang w:val="en-IE" w:eastAsia="en-GB"/>
        </w:rPr>
      </w:pPr>
      <w:r w:rsidRPr="000F51FC">
        <w:rPr>
          <w:noProof/>
          <w:lang w:val="en-IE" w:eastAsia="en-GB"/>
        </w:rPr>
        <w:t>International Federation for Human Rights</w:t>
      </w:r>
    </w:p>
    <w:p w14:paraId="4AF8A390" w14:textId="77777777" w:rsidR="000F51FC" w:rsidRPr="000F51FC" w:rsidRDefault="000F51FC" w:rsidP="000F51FC">
      <w:pPr>
        <w:numPr>
          <w:ilvl w:val="0"/>
          <w:numId w:val="22"/>
        </w:numPr>
        <w:spacing w:after="0" w:line="264" w:lineRule="auto"/>
        <w:ind w:left="714" w:hanging="357"/>
        <w:jc w:val="left"/>
        <w:rPr>
          <w:noProof/>
          <w:lang w:val="en-IE" w:eastAsia="en-GB"/>
        </w:rPr>
      </w:pPr>
      <w:r w:rsidRPr="000F51FC">
        <w:rPr>
          <w:noProof/>
          <w:lang w:val="en-IE" w:eastAsia="en-GB"/>
        </w:rPr>
        <w:t>Philea - Philanthropy Europe Association</w:t>
      </w:r>
    </w:p>
    <w:p w14:paraId="3FA7BA6E" w14:textId="77777777" w:rsidR="000F51FC" w:rsidRPr="000F51FC" w:rsidRDefault="000F51FC" w:rsidP="000F51FC">
      <w:pPr>
        <w:numPr>
          <w:ilvl w:val="0"/>
          <w:numId w:val="22"/>
        </w:numPr>
        <w:spacing w:after="0" w:line="264" w:lineRule="auto"/>
        <w:ind w:left="714" w:hanging="357"/>
        <w:jc w:val="left"/>
        <w:rPr>
          <w:noProof/>
          <w:lang w:val="en-IE" w:eastAsia="en-GB"/>
        </w:rPr>
      </w:pPr>
      <w:r w:rsidRPr="000F51FC">
        <w:rPr>
          <w:noProof/>
          <w:lang w:val="en-IE" w:eastAsia="en-GB"/>
        </w:rPr>
        <w:t>Transparency International EU</w:t>
      </w:r>
    </w:p>
    <w:p w14:paraId="20A7F61D" w14:textId="77777777" w:rsidR="000F51FC" w:rsidRPr="000F51FC" w:rsidRDefault="000F51FC" w:rsidP="000F51FC">
      <w:pPr>
        <w:spacing w:after="0" w:line="264" w:lineRule="auto"/>
        <w:rPr>
          <w:noProof/>
          <w:lang w:val="en-IE" w:eastAsia="en-GB"/>
        </w:rPr>
      </w:pPr>
    </w:p>
    <w:p w14:paraId="66997C71" w14:textId="77777777" w:rsidR="000F51FC" w:rsidRPr="000F51FC" w:rsidRDefault="000F51FC" w:rsidP="000F51FC">
      <w:pPr>
        <w:spacing w:after="120"/>
        <w:ind w:left="284" w:hanging="284"/>
        <w:rPr>
          <w:noProof/>
          <w:szCs w:val="22"/>
          <w:lang w:val="en-IE" w:eastAsia="en-GB"/>
        </w:rPr>
      </w:pPr>
    </w:p>
    <w:p w14:paraId="2947E6F3" w14:textId="77777777" w:rsidR="000F51FC" w:rsidRPr="000F51FC" w:rsidRDefault="000F51FC" w:rsidP="000F51FC">
      <w:pPr>
        <w:spacing w:after="0"/>
        <w:rPr>
          <w:noProof/>
          <w:lang w:val="en-IE" w:eastAsia="en-GB"/>
        </w:rPr>
      </w:pPr>
    </w:p>
    <w:p w14:paraId="4673C155" w14:textId="77777777" w:rsidR="000F51FC" w:rsidRPr="000F51FC" w:rsidRDefault="000F51FC" w:rsidP="000F51FC">
      <w:pPr>
        <w:rPr>
          <w:rFonts w:eastAsia="Calibri"/>
          <w:noProof/>
          <w:szCs w:val="22"/>
          <w:lang w:val="en-IE" w:eastAsia="en-US"/>
        </w:rPr>
      </w:pPr>
    </w:p>
    <w:p w14:paraId="61CCB78A" w14:textId="77777777" w:rsidR="000F51FC" w:rsidRPr="000F51FC" w:rsidRDefault="000F51FC" w:rsidP="000F51FC">
      <w:pPr>
        <w:rPr>
          <w:rFonts w:eastAsia="Calibri"/>
          <w:noProof/>
          <w:szCs w:val="22"/>
          <w:lang w:val="en-IE" w:eastAsia="en-US"/>
        </w:rPr>
      </w:pPr>
    </w:p>
    <w:p w14:paraId="05AA04ED" w14:textId="77777777" w:rsidR="000F51FC" w:rsidRPr="000F51FC" w:rsidRDefault="000F51FC" w:rsidP="000F51FC">
      <w:pPr>
        <w:spacing w:after="160" w:line="279" w:lineRule="auto"/>
        <w:jc w:val="left"/>
        <w:rPr>
          <w:rFonts w:ascii="Aptos" w:eastAsia="MS Mincho" w:hAnsi="Aptos" w:cs="Arial"/>
          <w:noProof/>
          <w:szCs w:val="24"/>
          <w:lang w:val="en-IE" w:eastAsia="ja-JP"/>
        </w:rPr>
      </w:pPr>
    </w:p>
    <w:p w14:paraId="7C71BB12" w14:textId="77777777" w:rsidR="00CD604B" w:rsidRDefault="00CD604B" w:rsidP="00B51782">
      <w:pPr>
        <w:rPr>
          <w:noProof/>
        </w:rPr>
      </w:pPr>
    </w:p>
    <w:sectPr w:rsidR="00CD604B" w:rsidSect="000F51FC">
      <w:headerReference w:type="even" r:id="rId56"/>
      <w:headerReference w:type="default" r:id="rId57"/>
      <w:footerReference w:type="even" r:id="rId58"/>
      <w:footerReference w:type="default" r:id="rId59"/>
      <w:headerReference w:type="first" r:id="rId60"/>
      <w:footerReference w:type="first" r:id="rId61"/>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79ADB6" w14:textId="77777777" w:rsidR="002D4D25" w:rsidRDefault="002D4D25">
      <w:pPr>
        <w:spacing w:after="0"/>
      </w:pPr>
      <w:r>
        <w:separator/>
      </w:r>
    </w:p>
  </w:endnote>
  <w:endnote w:type="continuationSeparator" w:id="0">
    <w:p w14:paraId="15CB5336" w14:textId="77777777" w:rsidR="002D4D25" w:rsidRDefault="002D4D2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D11F4" w14:textId="3915A31C" w:rsidR="00196865" w:rsidRPr="00196865" w:rsidRDefault="00196865" w:rsidP="00196865">
    <w:pPr>
      <w:pStyle w:val="FooterCoverPage"/>
      <w:rPr>
        <w:rFonts w:ascii="Arial" w:hAnsi="Arial" w:cs="Arial"/>
        <w:b/>
        <w:sz w:val="48"/>
      </w:rPr>
    </w:pPr>
    <w:r w:rsidRPr="00196865">
      <w:rPr>
        <w:rFonts w:ascii="Arial" w:hAnsi="Arial" w:cs="Arial"/>
        <w:b/>
        <w:sz w:val="48"/>
      </w:rPr>
      <w:t>EN</w:t>
    </w:r>
    <w:r w:rsidRPr="00196865">
      <w:rPr>
        <w:rFonts w:ascii="Arial" w:hAnsi="Arial" w:cs="Arial"/>
        <w:b/>
        <w:sz w:val="48"/>
      </w:rPr>
      <w:tab/>
    </w:r>
    <w:r w:rsidRPr="00196865">
      <w:rPr>
        <w:rFonts w:ascii="Arial" w:hAnsi="Arial" w:cs="Arial"/>
        <w:b/>
        <w:sz w:val="48"/>
      </w:rPr>
      <w:tab/>
    </w:r>
    <w:r w:rsidRPr="00196865">
      <w:tab/>
    </w:r>
    <w:r w:rsidRPr="0019686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72B0B" w14:textId="33BE6A23" w:rsidR="00196865" w:rsidRPr="00196865" w:rsidRDefault="00196865" w:rsidP="00196865">
    <w:pPr>
      <w:pStyle w:val="FooterCoverPage"/>
      <w:rPr>
        <w:rFonts w:ascii="Arial" w:hAnsi="Arial" w:cs="Arial"/>
        <w:b/>
        <w:sz w:val="48"/>
      </w:rPr>
    </w:pPr>
    <w:r w:rsidRPr="00196865">
      <w:rPr>
        <w:rFonts w:ascii="Arial" w:hAnsi="Arial" w:cs="Arial"/>
        <w:b/>
        <w:sz w:val="48"/>
      </w:rPr>
      <w:t>EN</w:t>
    </w:r>
    <w:r w:rsidRPr="00196865">
      <w:rPr>
        <w:rFonts w:ascii="Arial" w:hAnsi="Arial" w:cs="Arial"/>
        <w:b/>
        <w:sz w:val="48"/>
      </w:rPr>
      <w:tab/>
    </w:r>
    <w:r w:rsidRPr="00196865">
      <w:rPr>
        <w:rFonts w:ascii="Arial" w:hAnsi="Arial" w:cs="Arial"/>
        <w:b/>
        <w:sz w:val="48"/>
      </w:rPr>
      <w:tab/>
    </w:r>
    <w:r w:rsidRPr="00196865">
      <w:tab/>
    </w:r>
    <w:r w:rsidRPr="0019686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1B2A5" w14:textId="77777777" w:rsidR="00196865" w:rsidRPr="00196865" w:rsidRDefault="00196865" w:rsidP="0019686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A0BBA" w14:textId="77777777" w:rsidR="000F51FC" w:rsidRDefault="000F51F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noProof/>
        <w:sz w:val="24"/>
        <w:szCs w:val="24"/>
      </w:rPr>
    </w:sdtEndPr>
    <w:sdtContent>
      <w:p w14:paraId="410BBED9" w14:textId="6151D0A3" w:rsidR="000F51FC" w:rsidRPr="000F51FC" w:rsidRDefault="000F51FC">
        <w:pPr>
          <w:pStyle w:val="Footer"/>
          <w:jc w:val="center"/>
          <w:rPr>
            <w:sz w:val="24"/>
            <w:szCs w:val="24"/>
          </w:rPr>
        </w:pPr>
        <w:r w:rsidRPr="000F51FC">
          <w:rPr>
            <w:sz w:val="24"/>
            <w:szCs w:val="24"/>
          </w:rPr>
          <w:fldChar w:fldCharType="begin"/>
        </w:r>
        <w:r w:rsidRPr="000F51FC">
          <w:rPr>
            <w:sz w:val="24"/>
            <w:szCs w:val="24"/>
          </w:rPr>
          <w:instrText xml:space="preserve"> PAGE   \* MERGEFORMAT </w:instrText>
        </w:r>
        <w:r w:rsidRPr="000F51FC">
          <w:rPr>
            <w:sz w:val="24"/>
            <w:szCs w:val="24"/>
          </w:rPr>
          <w:fldChar w:fldCharType="separate"/>
        </w:r>
        <w:r w:rsidR="00196865">
          <w:rPr>
            <w:noProof/>
            <w:sz w:val="24"/>
            <w:szCs w:val="24"/>
          </w:rPr>
          <w:t>1</w:t>
        </w:r>
        <w:r w:rsidRPr="000F51FC">
          <w:rPr>
            <w:noProof/>
            <w:sz w:val="24"/>
            <w:szCs w:val="24"/>
          </w:rPr>
          <w:fldChar w:fldCharType="end"/>
        </w:r>
      </w:p>
    </w:sdtContent>
  </w:sdt>
  <w:p w14:paraId="7AA57288" w14:textId="77777777" w:rsidR="000F51FC" w:rsidRPr="00B6730D" w:rsidRDefault="000F51FC">
    <w:pPr>
      <w:pStyle w:val="Footer"/>
      <w:jc w:val="center"/>
      <w:rPr>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4C832222" w14:textId="77777777" w:rsidR="000F51FC" w:rsidRDefault="000F51FC">
        <w:pPr>
          <w:pStyle w:val="Footer"/>
          <w:jc w:val="center"/>
        </w:pPr>
      </w:p>
      <w:p w14:paraId="5DC150FC" w14:textId="77777777" w:rsidR="000F51FC" w:rsidRDefault="000F51FC">
        <w:pPr>
          <w:pStyle w:val="Footer"/>
          <w:jc w:val="center"/>
        </w:pPr>
      </w:p>
      <w:p w14:paraId="5C4CBD32" w14:textId="77777777" w:rsidR="000F51FC" w:rsidRDefault="000F51FC">
        <w:pPr>
          <w:pStyle w:val="Footer"/>
          <w:jc w:val="center"/>
          <w:rPr>
            <w:noProof/>
          </w:rPr>
        </w:pPr>
        <w:r>
          <w:fldChar w:fldCharType="begin"/>
        </w:r>
        <w:r>
          <w:instrText xml:space="preserve"> PAGE   \* MERGEFORMAT </w:instrText>
        </w:r>
        <w:r>
          <w:fldChar w:fldCharType="separate"/>
        </w:r>
        <w:r>
          <w:rPr>
            <w:noProof/>
          </w:rPr>
          <w:t>3</w:t>
        </w:r>
        <w:r>
          <w:rPr>
            <w:noProof/>
          </w:rPr>
          <w:fldChar w:fldCharType="end"/>
        </w:r>
      </w:p>
    </w:sdtContent>
  </w:sdt>
  <w:p w14:paraId="0703055A" w14:textId="77777777" w:rsidR="000F51FC" w:rsidRDefault="000F51FC"/>
  <w:p w14:paraId="19F10D89" w14:textId="77777777" w:rsidR="000F51FC" w:rsidRDefault="000F51F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ACA921" w14:textId="77777777" w:rsidR="002D4D25" w:rsidRDefault="002D4D25">
      <w:pPr>
        <w:spacing w:after="0"/>
      </w:pPr>
      <w:r>
        <w:separator/>
      </w:r>
    </w:p>
  </w:footnote>
  <w:footnote w:type="continuationSeparator" w:id="0">
    <w:p w14:paraId="31FE47FB" w14:textId="77777777" w:rsidR="002D4D25" w:rsidRDefault="002D4D25">
      <w:pPr>
        <w:spacing w:after="0"/>
      </w:pPr>
      <w:r>
        <w:continuationSeparator/>
      </w:r>
    </w:p>
  </w:footnote>
  <w:footnote w:id="1">
    <w:p w14:paraId="668B98C4" w14:textId="790334B0" w:rsidR="000F51FC" w:rsidRPr="0064216C" w:rsidRDefault="000F51FC" w:rsidP="00590B30">
      <w:pPr>
        <w:pStyle w:val="FootnoteText"/>
        <w:rPr>
          <w:lang w:val="en-IE"/>
        </w:rPr>
      </w:pPr>
      <w:r w:rsidRPr="0064216C">
        <w:rPr>
          <w:rStyle w:val="FootnoteReference"/>
          <w:lang w:val="en-IE"/>
        </w:rPr>
        <w:footnoteRef/>
      </w:r>
      <w:r w:rsidRPr="0064216C">
        <w:rPr>
          <w:rStyle w:val="FootnoteReference"/>
          <w:lang w:val="en-IE"/>
        </w:rPr>
        <w:t xml:space="preserve"> </w:t>
      </w:r>
      <w:r w:rsidRPr="0064216C">
        <w:rPr>
          <w:lang w:val="en-IE"/>
        </w:rPr>
        <w:tab/>
        <w:t>An overview of the institutional framework for all four pillars can be found</w:t>
      </w:r>
      <w:r w:rsidR="00167DEE">
        <w:rPr>
          <w:lang w:val="en-IE"/>
        </w:rPr>
        <w:t xml:space="preserve"> </w:t>
      </w:r>
      <w:hyperlink r:id="rId1" w:history="1">
        <w:r w:rsidR="00167DEE" w:rsidRPr="00167DEE">
          <w:rPr>
            <w:rStyle w:val="Hyperlink"/>
          </w:rPr>
          <w:t>here</w:t>
        </w:r>
      </w:hyperlink>
      <w:r w:rsidR="00167DEE" w:rsidRPr="00167DEE">
        <w:t>. </w:t>
      </w:r>
      <w:r w:rsidRPr="0064216C">
        <w:rPr>
          <w:lang w:val="en-IE"/>
        </w:rPr>
        <w:t> </w:t>
      </w:r>
    </w:p>
  </w:footnote>
  <w:footnote w:id="2">
    <w:p w14:paraId="1470788A" w14:textId="77777777" w:rsidR="000F51FC" w:rsidRPr="00AF6756" w:rsidRDefault="000F51FC" w:rsidP="00590B30">
      <w:pPr>
        <w:pStyle w:val="FootnoteText"/>
      </w:pPr>
      <w:r w:rsidRPr="00AF6756">
        <w:rPr>
          <w:rStyle w:val="FootnoteReference"/>
        </w:rPr>
        <w:footnoteRef/>
      </w:r>
      <w:r w:rsidRPr="00AF6756">
        <w:t xml:space="preserve"> </w:t>
      </w:r>
      <w:r>
        <w:tab/>
      </w:r>
      <w:r w:rsidRPr="00AF6756">
        <w:t>Figures 48 and 50, 2026 EU Justice Scoreboard and Figures 51 and 53, 2024 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39CCF7BC"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Czech Government (2026)</w:t>
      </w:r>
      <w:r>
        <w:rPr>
          <w:lang w:val="en-IE"/>
        </w:rPr>
        <w:t>,</w:t>
      </w:r>
      <w:r w:rsidRPr="0064216C">
        <w:rPr>
          <w:lang w:val="en-IE"/>
        </w:rPr>
        <w:t xml:space="preserve"> written input, p. 5. </w:t>
      </w:r>
    </w:p>
  </w:footnote>
  <w:footnote w:id="4">
    <w:p w14:paraId="0748CA95"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 xml:space="preserve">Section 3 para. 2 of the Act on proceedings in the cases of judges, prosecutors and bailiffs. The Supreme Court hears cases about judges, while the Supreme Administrative Court hears cases about Supreme Court judges, administrative judges (except for judges of the Supreme Administrative Court), public prosecutors and bailiffs. See also 2025 Rule of Law Report, Czechia, p. 3. </w:t>
      </w:r>
    </w:p>
  </w:footnote>
  <w:footnote w:id="5">
    <w:p w14:paraId="0E905D18"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Czech Government (2026)</w:t>
      </w:r>
      <w:r>
        <w:rPr>
          <w:lang w:val="en-IE"/>
        </w:rPr>
        <w:t>,</w:t>
      </w:r>
      <w:r w:rsidRPr="0064216C">
        <w:rPr>
          <w:lang w:val="en-IE"/>
        </w:rPr>
        <w:t xml:space="preserve"> written input, p. 5. Other procedural novelties are for example the </w:t>
      </w:r>
      <w:r w:rsidRPr="0064216C">
        <w:rPr>
          <w:lang w:val="en-IE" w:eastAsia="fr-FR"/>
        </w:rPr>
        <w:t>extension of the subjective time limit for filing a disciplinary petition from six to nine months.</w:t>
      </w:r>
    </w:p>
  </w:footnote>
  <w:footnote w:id="6">
    <w:p w14:paraId="53502694"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Section 9 of Act No 7/2002 Coll., “The petitioner must file a motion to initiate disciplinary proceedings within 9 months of the date on which he or she became aware of the facts relating to the disciplinary offense that are relevant to the filing of the motion.”</w:t>
      </w:r>
    </w:p>
  </w:footnote>
  <w:footnote w:id="7">
    <w:p w14:paraId="44E4D2D5"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r>
      <w:r w:rsidRPr="005B0121">
        <w:rPr>
          <w:lang w:val="en-IE"/>
        </w:rPr>
        <w:t>Recovery and Resilience Plan: Reform 2</w:t>
      </w:r>
      <w:r w:rsidRPr="0064216C">
        <w:rPr>
          <w:lang w:val="en-IE"/>
        </w:rPr>
        <w:t xml:space="preserve"> Strengthening the legislative framework and transparency in the areas of courts, judges, prosecutors and bailiffs, component 4.3. GRECO </w:t>
      </w:r>
      <w:r w:rsidRPr="00667E79">
        <w:t>Fourth Evaluation Round – Evaluation Report</w:t>
      </w:r>
      <w:r w:rsidRPr="0064216C">
        <w:rPr>
          <w:lang w:val="en-IE"/>
        </w:rPr>
        <w:t>, recommendation ix, introducing the possibility for judges to challenge disciplinary decisions including for dismissal before a court.</w:t>
      </w:r>
    </w:p>
  </w:footnote>
  <w:footnote w:id="8">
    <w:p w14:paraId="197911C5"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 xml:space="preserve">The first appeal case at the Supreme Court was heard on 18 March 2026. Country visit Czechia, Supreme Court, Union of Judges. </w:t>
      </w:r>
    </w:p>
  </w:footnote>
  <w:footnote w:id="9">
    <w:p w14:paraId="54AB649E"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Czech Government (2026)</w:t>
      </w:r>
      <w:r>
        <w:rPr>
          <w:lang w:val="en-IE"/>
        </w:rPr>
        <w:t>,</w:t>
      </w:r>
      <w:r w:rsidRPr="0064216C">
        <w:rPr>
          <w:lang w:val="en-IE"/>
        </w:rPr>
        <w:t xml:space="preserve"> written input, p. 6. Country visit Czechia, Union of Judges. </w:t>
      </w:r>
    </w:p>
  </w:footnote>
  <w:footnote w:id="10">
    <w:p w14:paraId="4E3FE820" w14:textId="49342DC8"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Czech Government (2026)</w:t>
      </w:r>
      <w:r>
        <w:rPr>
          <w:lang w:val="en-IE"/>
        </w:rPr>
        <w:t>,</w:t>
      </w:r>
      <w:r w:rsidRPr="0064216C">
        <w:rPr>
          <w:lang w:val="en-IE"/>
        </w:rPr>
        <w:t xml:space="preserve"> written input, p. 5. Country visit Czechia, </w:t>
      </w:r>
      <w:r w:rsidR="005D56B7">
        <w:rPr>
          <w:lang w:val="en-IE"/>
        </w:rPr>
        <w:t>Office of the Prosecutor General</w:t>
      </w:r>
      <w:r>
        <w:rPr>
          <w:lang w:val="en-IE"/>
        </w:rPr>
        <w:t xml:space="preserve"> and</w:t>
      </w:r>
      <w:r w:rsidRPr="0064216C">
        <w:rPr>
          <w:lang w:val="en-IE"/>
        </w:rPr>
        <w:t xml:space="preserve"> Union of Public Prosecutors.</w:t>
      </w:r>
    </w:p>
  </w:footnote>
  <w:footnote w:id="11">
    <w:p w14:paraId="04B8EE98"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Country visit Czechia, Union of Judges</w:t>
      </w:r>
      <w:r>
        <w:rPr>
          <w:lang w:val="en-IE"/>
        </w:rPr>
        <w:t xml:space="preserve"> and</w:t>
      </w:r>
      <w:r w:rsidRPr="0064216C">
        <w:rPr>
          <w:lang w:val="en-IE"/>
        </w:rPr>
        <w:t xml:space="preserve"> Supreme Court.</w:t>
      </w:r>
    </w:p>
  </w:footnote>
  <w:footnote w:id="12">
    <w:p w14:paraId="45A5DDF6" w14:textId="28100DC2"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Country visit Czechia, Union of Judges</w:t>
      </w:r>
      <w:r w:rsidR="0014191B">
        <w:rPr>
          <w:lang w:val="en-IE"/>
        </w:rPr>
        <w:t xml:space="preserve"> and Supreme Court</w:t>
      </w:r>
      <w:r w:rsidRPr="0064216C">
        <w:rPr>
          <w:lang w:val="en-IE"/>
        </w:rPr>
        <w:t xml:space="preserve">. The Supreme Court acknowledged that the judiciary is not immune from criticism but stressed that it should be expressed through appropriate channels, such as legal publications or academic commentary, and in a manner consistent with the dignity of the judicial office. Union of Judges asked for restraint in comments by politicians. </w:t>
      </w:r>
      <w:r w:rsidR="00CF37B0">
        <w:rPr>
          <w:lang w:val="en-IE"/>
        </w:rPr>
        <w:t xml:space="preserve">See also </w:t>
      </w:r>
      <w:r w:rsidRPr="0064216C">
        <w:rPr>
          <w:lang w:val="en-IE"/>
        </w:rPr>
        <w:t>Union of Judges (2026).</w:t>
      </w:r>
      <w:r w:rsidRPr="0064216C" w:rsidDel="00A40F77">
        <w:rPr>
          <w:lang w:val="en-IE"/>
        </w:rPr>
        <w:t xml:space="preserve"> </w:t>
      </w:r>
    </w:p>
  </w:footnote>
  <w:footnote w:id="13">
    <w:p w14:paraId="07410EAC"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r>
      <w:r w:rsidRPr="00F34F4A">
        <w:rPr>
          <w:lang w:val="en-IE"/>
        </w:rPr>
        <w:t>Recommendation CM/Rec(2010)12 of the Committee of Ministers of the Council of Europe, para. 18. See also Venice Commission (2013), CDL-AD(2013)038, paras. 21-22.</w:t>
      </w:r>
    </w:p>
  </w:footnote>
  <w:footnote w:id="14">
    <w:p w14:paraId="65DC89F7"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T</w:t>
      </w:r>
      <w:r w:rsidRPr="0064216C">
        <w:rPr>
          <w:lang w:val="en-IE" w:eastAsia="fr-FR"/>
        </w:rPr>
        <w:t xml:space="preserve">he salary is calculated on the basis of a starting amount (triple of the average salary in the country) modified according to the instance of the court of prosecutorial office, length of relevant experience and, where applicable, the exercise of a managerial position. Czech Government (2026) written input, p. 7. </w:t>
      </w:r>
      <w:r w:rsidRPr="00176435">
        <w:rPr>
          <w:lang w:val="en-IE"/>
        </w:rPr>
        <w:t>Constitutional Court, decision of 15 May 2024, Pl. ÚS 5/24.</w:t>
      </w:r>
    </w:p>
  </w:footnote>
  <w:footnote w:id="15">
    <w:p w14:paraId="58A5AC62"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 xml:space="preserve">See also 2025 Rule of Law Report, Czechia, p. 4. </w:t>
      </w:r>
    </w:p>
  </w:footnote>
  <w:footnote w:id="16">
    <w:p w14:paraId="66D31BC4" w14:textId="49E220A6" w:rsidR="000F51FC" w:rsidRPr="0064216C" w:rsidRDefault="000F51FC" w:rsidP="00590B30">
      <w:pPr>
        <w:pStyle w:val="FootnoteText"/>
        <w:rPr>
          <w:lang w:val="en-IE"/>
        </w:rPr>
      </w:pPr>
      <w:r w:rsidRPr="0064216C">
        <w:rPr>
          <w:rStyle w:val="FootnoteReference"/>
          <w:lang w:val="en-IE"/>
        </w:rPr>
        <w:footnoteRef/>
      </w:r>
      <w:r w:rsidRPr="0064216C" w:rsidDel="0068460D">
        <w:rPr>
          <w:lang w:val="en-IE"/>
        </w:rPr>
        <w:t xml:space="preserve"> </w:t>
      </w:r>
      <w:r w:rsidRPr="0064216C">
        <w:rPr>
          <w:lang w:val="en-IE"/>
        </w:rPr>
        <w:tab/>
      </w:r>
      <w:r w:rsidRPr="00122BCC">
        <w:rPr>
          <w:lang w:val="en-IE"/>
        </w:rPr>
        <w:t xml:space="preserve">Judgment of the Constitutional Court of </w:t>
      </w:r>
      <w:r w:rsidR="00122BCC" w:rsidRPr="00122BCC">
        <w:rPr>
          <w:lang w:val="en-IE"/>
        </w:rPr>
        <w:t>1</w:t>
      </w:r>
      <w:r w:rsidRPr="00122BCC">
        <w:rPr>
          <w:lang w:val="en-IE"/>
        </w:rPr>
        <w:t xml:space="preserve"> October 2025, Pl. ÚS 19/25</w:t>
      </w:r>
      <w:r w:rsidRPr="00B438A9">
        <w:rPr>
          <w:lang w:val="en-IE"/>
        </w:rPr>
        <w:t>.</w:t>
      </w:r>
      <w:r w:rsidRPr="0064216C">
        <w:rPr>
          <w:lang w:val="en-IE"/>
        </w:rPr>
        <w:t xml:space="preserve"> Country visit Czechia, Ministry of Justice, Supreme Court, Union of Judges and Supreme Administrative Court. </w:t>
      </w:r>
    </w:p>
  </w:footnote>
  <w:footnote w:id="17">
    <w:p w14:paraId="4BDD2B2F"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The rules for determining judges’ remuneration must be objective, foreseeable, but also stable and transparent, so as to exclude any arbitrary intervention by the legislature and the executive, and the same requirements apply to any measures derogating from those rules. Judgment of the CJEU, joined cases C</w:t>
      </w:r>
      <w:r w:rsidRPr="0064216C">
        <w:rPr>
          <w:lang w:val="en-IE"/>
        </w:rPr>
        <w:noBreakHyphen/>
        <w:t>146/23, Sąd Rejonowy w Białymstoku and C</w:t>
      </w:r>
      <w:r w:rsidRPr="0064216C">
        <w:rPr>
          <w:lang w:val="en-IE"/>
        </w:rPr>
        <w:noBreakHyphen/>
        <w:t xml:space="preserve">374/23, Adoreikė, para 56, paras. 65 et seq. </w:t>
      </w:r>
      <w:r>
        <w:rPr>
          <w:lang w:val="en-IE"/>
        </w:rPr>
        <w:t>Stakeholders noted that further changes to the regime of salaries might be under consideration.</w:t>
      </w:r>
      <w:r w:rsidRPr="00842BBB">
        <w:rPr>
          <w:lang w:val="en-IE"/>
        </w:rPr>
        <w:t xml:space="preserve"> </w:t>
      </w:r>
      <w:r w:rsidRPr="0064216C">
        <w:rPr>
          <w:lang w:val="en-IE"/>
        </w:rPr>
        <w:t>Country visit Czechia, Union of Judges, Supreme Court</w:t>
      </w:r>
      <w:r>
        <w:rPr>
          <w:lang w:val="en-IE"/>
        </w:rPr>
        <w:t xml:space="preserve"> and</w:t>
      </w:r>
      <w:r w:rsidRPr="0064216C">
        <w:rPr>
          <w:lang w:val="en-IE"/>
        </w:rPr>
        <w:t xml:space="preserve"> Supreme Administrative Court.</w:t>
      </w:r>
    </w:p>
  </w:footnote>
  <w:footnote w:id="18">
    <w:p w14:paraId="7ECE8303"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Czech Government (2026)</w:t>
      </w:r>
      <w:r>
        <w:rPr>
          <w:lang w:val="en-IE"/>
        </w:rPr>
        <w:t>,</w:t>
      </w:r>
      <w:r w:rsidRPr="0064216C">
        <w:rPr>
          <w:lang w:val="en-IE"/>
        </w:rPr>
        <w:t xml:space="preserve"> written input, p. 7. </w:t>
      </w:r>
    </w:p>
  </w:footnote>
  <w:footnote w:id="19">
    <w:p w14:paraId="5384FB3B"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 xml:space="preserve">Country visit Czechia, Union of Judges, Supreme Court. </w:t>
      </w:r>
    </w:p>
  </w:footnote>
  <w:footnote w:id="20">
    <w:p w14:paraId="2FA6EB10"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Country visit Czechia, Ministry of Justice.</w:t>
      </w:r>
    </w:p>
  </w:footnote>
  <w:footnote w:id="21">
    <w:p w14:paraId="31949C7B" w14:textId="3D333652"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r>
      <w:r w:rsidR="008F4F33">
        <w:rPr>
          <w:lang w:val="en-IE"/>
        </w:rPr>
        <w:t>ibidem.</w:t>
      </w:r>
    </w:p>
  </w:footnote>
  <w:footnote w:id="22">
    <w:p w14:paraId="2D43E217"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Country visit Czechia, Union of Judges</w:t>
      </w:r>
      <w:r>
        <w:rPr>
          <w:lang w:val="en-IE"/>
        </w:rPr>
        <w:t xml:space="preserve"> and</w:t>
      </w:r>
      <w:r w:rsidRPr="0064216C">
        <w:rPr>
          <w:lang w:val="en-IE"/>
        </w:rPr>
        <w:t xml:space="preserve"> Supreme Court.</w:t>
      </w:r>
    </w:p>
  </w:footnote>
  <w:footnote w:id="23">
    <w:p w14:paraId="20456A2B"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Czech Government (2026)</w:t>
      </w:r>
      <w:r>
        <w:rPr>
          <w:lang w:val="en-IE"/>
        </w:rPr>
        <w:t>,</w:t>
      </w:r>
      <w:r w:rsidRPr="0064216C">
        <w:rPr>
          <w:lang w:val="en-IE"/>
        </w:rPr>
        <w:t xml:space="preserve"> written input, p. 7. Country visit Czechia, Ministry of Justice</w:t>
      </w:r>
      <w:r>
        <w:rPr>
          <w:lang w:val="en-IE"/>
        </w:rPr>
        <w:t xml:space="preserve"> and</w:t>
      </w:r>
      <w:r w:rsidRPr="0064216C">
        <w:rPr>
          <w:lang w:val="en-IE"/>
        </w:rPr>
        <w:t xml:space="preserve"> Supreme Court. 2025 Rule of Law Report, Czechia, p. 6. </w:t>
      </w:r>
      <w:r w:rsidRPr="0064216C">
        <w:rPr>
          <w:lang w:val="en-IE" w:eastAsia="fr-FR"/>
        </w:rPr>
        <w:t>The project is entitled “Strengthening the efficiency of the judicial system in the Czech Republic” supported by the Technical Support Instrument of the European Commission and aimed at determining the staffing needs at individual courts.</w:t>
      </w:r>
    </w:p>
  </w:footnote>
  <w:footnote w:id="24">
    <w:p w14:paraId="2206B6FC"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Such as videoconferencing or Justice Portal.</w:t>
      </w:r>
    </w:p>
  </w:footnote>
  <w:footnote w:id="25">
    <w:p w14:paraId="76A6A055" w14:textId="178896A8"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Czech Government (2026)</w:t>
      </w:r>
      <w:r>
        <w:rPr>
          <w:lang w:val="en-IE"/>
        </w:rPr>
        <w:t>,</w:t>
      </w:r>
      <w:r w:rsidRPr="0064216C">
        <w:rPr>
          <w:lang w:val="en-IE"/>
        </w:rPr>
        <w:t xml:space="preserve"> written input, pp. 8-9.</w:t>
      </w:r>
    </w:p>
  </w:footnote>
  <w:footnote w:id="26">
    <w:p w14:paraId="7161E552" w14:textId="707E9A93"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r>
      <w:r w:rsidR="00FB25B0">
        <w:rPr>
          <w:lang w:val="en-IE"/>
        </w:rPr>
        <w:t>ibidem.</w:t>
      </w:r>
    </w:p>
  </w:footnote>
  <w:footnote w:id="27">
    <w:p w14:paraId="53A77226"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League of Human Rights (2025); Glopolis</w:t>
      </w:r>
      <w:r>
        <w:rPr>
          <w:lang w:val="en-IE"/>
        </w:rPr>
        <w:t xml:space="preserve"> (2026)</w:t>
      </w:r>
      <w:r w:rsidRPr="0064216C">
        <w:rPr>
          <w:lang w:val="en-IE"/>
        </w:rPr>
        <w:t>, written input, p. 9.</w:t>
      </w:r>
    </w:p>
  </w:footnote>
  <w:footnote w:id="28">
    <w:p w14:paraId="59D30348"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Country visit Czechia, Office of the Prosecutor General.</w:t>
      </w:r>
    </w:p>
  </w:footnote>
  <w:footnote w:id="29">
    <w:p w14:paraId="0F31B514" w14:textId="23F191E0"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League of Human Rights (2025), p. 4</w:t>
      </w:r>
      <w:r w:rsidR="00620B3C">
        <w:rPr>
          <w:lang w:val="en-IE"/>
        </w:rPr>
        <w:t>,</w:t>
      </w:r>
      <w:r w:rsidRPr="0064216C">
        <w:rPr>
          <w:lang w:val="en-IE"/>
        </w:rPr>
        <w:t xml:space="preserve"> Country visit</w:t>
      </w:r>
      <w:r>
        <w:rPr>
          <w:lang w:val="en-IE"/>
        </w:rPr>
        <w:t xml:space="preserve"> Czechia</w:t>
      </w:r>
      <w:r w:rsidRPr="0064216C">
        <w:rPr>
          <w:lang w:val="en-IE"/>
        </w:rPr>
        <w:t>, Union of Judges</w:t>
      </w:r>
      <w:r>
        <w:rPr>
          <w:lang w:val="en-IE"/>
        </w:rPr>
        <w:t>.</w:t>
      </w:r>
      <w:r w:rsidRPr="0064216C">
        <w:rPr>
          <w:lang w:val="en-IE"/>
        </w:rPr>
        <w:t xml:space="preserve"> </w:t>
      </w:r>
    </w:p>
  </w:footnote>
  <w:footnote w:id="30">
    <w:p w14:paraId="00FC8488" w14:textId="73ED8C93"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League of Human Rights (2025), p. 4</w:t>
      </w:r>
      <w:r w:rsidR="00620B3C">
        <w:rPr>
          <w:lang w:val="en-IE"/>
        </w:rPr>
        <w:t>,</w:t>
      </w:r>
      <w:r w:rsidRPr="0064216C">
        <w:rPr>
          <w:lang w:val="en-IE"/>
        </w:rPr>
        <w:t xml:space="preserve"> STEM-Network for the Protection of Democracy, written input, p. 10; Glopolis, written input, p. 9.</w:t>
      </w:r>
    </w:p>
  </w:footnote>
  <w:footnote w:id="31">
    <w:p w14:paraId="7274F4B9" w14:textId="3782D8C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Office of the Prosecutor General, written input, p. 10; Czech Bar Association, written input, pp. 6 and 17</w:t>
      </w:r>
      <w:r w:rsidR="00B20002">
        <w:rPr>
          <w:lang w:val="en-IE"/>
        </w:rPr>
        <w:t>,</w:t>
      </w:r>
      <w:r w:rsidRPr="0064216C">
        <w:rPr>
          <w:lang w:val="en-IE"/>
        </w:rPr>
        <w:t xml:space="preserve"> STEM-Network for the Protection of Democracy, written input, p. 10</w:t>
      </w:r>
      <w:r w:rsidR="00832C1E">
        <w:rPr>
          <w:lang w:val="en-IE"/>
        </w:rPr>
        <w:t>,</w:t>
      </w:r>
      <w:r w:rsidRPr="0064216C">
        <w:rPr>
          <w:lang w:val="en-IE"/>
        </w:rPr>
        <w:t xml:space="preserve"> Glopolis, written input, p. 9</w:t>
      </w:r>
      <w:r w:rsidR="00832C1E">
        <w:rPr>
          <w:lang w:val="en-IE"/>
        </w:rPr>
        <w:t>,</w:t>
      </w:r>
      <w:r w:rsidRPr="0064216C">
        <w:rPr>
          <w:lang w:val="en-IE"/>
        </w:rPr>
        <w:t xml:space="preserve"> Country visit</w:t>
      </w:r>
      <w:r w:rsidR="00716669">
        <w:rPr>
          <w:lang w:val="en-IE"/>
        </w:rPr>
        <w:t xml:space="preserve"> Czechia</w:t>
      </w:r>
      <w:r w:rsidRPr="0064216C">
        <w:rPr>
          <w:lang w:val="en-IE"/>
        </w:rPr>
        <w:t xml:space="preserve">, Union of Judges, Union of Prosecutors, Supreme Court. </w:t>
      </w:r>
    </w:p>
  </w:footnote>
  <w:footnote w:id="32">
    <w:p w14:paraId="0BDD5A91" w14:textId="3134917C"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League of Human Rights (2025)</w:t>
      </w:r>
      <w:r w:rsidR="00832C1E">
        <w:rPr>
          <w:lang w:val="en-IE"/>
        </w:rPr>
        <w:t>,</w:t>
      </w:r>
      <w:r w:rsidRPr="0064216C">
        <w:rPr>
          <w:lang w:val="en-IE"/>
        </w:rPr>
        <w:t xml:space="preserve"> Czech Bar Association (2026), written input, p. 17</w:t>
      </w:r>
      <w:r w:rsidR="00832C1E">
        <w:rPr>
          <w:lang w:val="en-IE"/>
        </w:rPr>
        <w:t>,</w:t>
      </w:r>
      <w:r w:rsidRPr="0064216C">
        <w:rPr>
          <w:lang w:val="en-IE"/>
        </w:rPr>
        <w:t xml:space="preserve"> Glopolis (2026), written input, p. 9.</w:t>
      </w:r>
    </w:p>
  </w:footnote>
  <w:footnote w:id="33">
    <w:p w14:paraId="45E82758" w14:textId="21B5A7A2" w:rsidR="000F51FC" w:rsidRPr="0064216C" w:rsidRDefault="000F51FC" w:rsidP="00590B30">
      <w:pPr>
        <w:pStyle w:val="FootnoteText"/>
        <w:rPr>
          <w:lang w:val="en-IE"/>
        </w:rPr>
      </w:pPr>
      <w:r w:rsidRPr="002441A9">
        <w:rPr>
          <w:rStyle w:val="FootnoteReference"/>
          <w:lang w:val="en-IE"/>
        </w:rPr>
        <w:footnoteRef/>
      </w:r>
      <w:r w:rsidRPr="002441A9">
        <w:rPr>
          <w:lang w:val="en-IE"/>
        </w:rPr>
        <w:t xml:space="preserve"> </w:t>
      </w:r>
      <w:r w:rsidRPr="002441A9">
        <w:rPr>
          <w:lang w:val="en-IE"/>
        </w:rPr>
        <w:tab/>
        <w:t>Act No. 314/2025 Coll</w:t>
      </w:r>
      <w:r w:rsidR="00222229" w:rsidRPr="002441A9">
        <w:rPr>
          <w:lang w:val="en-IE"/>
        </w:rPr>
        <w:t>.</w:t>
      </w:r>
    </w:p>
  </w:footnote>
  <w:footnote w:id="34">
    <w:p w14:paraId="763A3D6C" w14:textId="77777777" w:rsidR="000F51FC" w:rsidRPr="00684877" w:rsidRDefault="000F51FC" w:rsidP="0072797F">
      <w:pPr>
        <w:pStyle w:val="FootnoteText"/>
      </w:pPr>
      <w:r>
        <w:rPr>
          <w:rStyle w:val="FootnoteReference"/>
        </w:rPr>
        <w:footnoteRef/>
      </w:r>
      <w:r>
        <w:t xml:space="preserve"> </w:t>
      </w:r>
      <w:r>
        <w:tab/>
      </w:r>
      <w:r w:rsidRPr="002F1197">
        <w:t xml:space="preserve">Explanatory memorandum to </w:t>
      </w:r>
      <w:r w:rsidRPr="002F1197">
        <w:rPr>
          <w:lang w:val="cs-CZ"/>
        </w:rPr>
        <w:t>Act No. 314/2025 Coll, p. 73.</w:t>
      </w:r>
    </w:p>
  </w:footnote>
  <w:footnote w:id="35">
    <w:p w14:paraId="33534C00" w14:textId="0F71BEE2" w:rsidR="000F51FC" w:rsidRPr="0064216C" w:rsidRDefault="000F51FC" w:rsidP="0072797F">
      <w:pPr>
        <w:pStyle w:val="FootnoteText"/>
        <w:rPr>
          <w:lang w:val="en-IE"/>
        </w:rPr>
      </w:pPr>
      <w:r w:rsidRPr="0064216C">
        <w:rPr>
          <w:rStyle w:val="FootnoteReference"/>
          <w:lang w:val="en-IE"/>
        </w:rPr>
        <w:footnoteRef/>
      </w:r>
      <w:r w:rsidRPr="0064216C">
        <w:rPr>
          <w:lang w:val="en-IE"/>
        </w:rPr>
        <w:t xml:space="preserve"> </w:t>
      </w:r>
      <w:r w:rsidRPr="0064216C">
        <w:rPr>
          <w:lang w:val="en-IE"/>
        </w:rPr>
        <w:tab/>
      </w:r>
      <w:r w:rsidRPr="003D69EC">
        <w:rPr>
          <w:rFonts w:eastAsia="Calibri" w:cs="Arial"/>
          <w:lang w:val="en-IE" w:eastAsia="en-US"/>
        </w:rPr>
        <w:t>ENNHRI (2026), written input</w:t>
      </w:r>
      <w:r w:rsidRPr="000F7B93">
        <w:rPr>
          <w:lang w:val="en-IE"/>
        </w:rPr>
        <w:t>;</w:t>
      </w:r>
      <w:r w:rsidRPr="0064216C">
        <w:rPr>
          <w:lang w:val="en-IE"/>
        </w:rPr>
        <w:t xml:space="preserve"> Country visit Czechia, Glopolis.</w:t>
      </w:r>
    </w:p>
  </w:footnote>
  <w:footnote w:id="36">
    <w:p w14:paraId="1D9767E8" w14:textId="77777777" w:rsidR="000F51FC" w:rsidRPr="0064216C" w:rsidRDefault="000F51FC" w:rsidP="0072797F">
      <w:pPr>
        <w:pStyle w:val="FootnoteText"/>
        <w:rPr>
          <w:lang w:val="en-IE"/>
        </w:rPr>
      </w:pPr>
      <w:r w:rsidRPr="0064216C">
        <w:rPr>
          <w:rStyle w:val="FootnoteReference"/>
          <w:lang w:val="en-IE"/>
        </w:rPr>
        <w:footnoteRef/>
      </w:r>
      <w:r w:rsidRPr="0064216C">
        <w:rPr>
          <w:lang w:val="en-IE"/>
        </w:rPr>
        <w:t xml:space="preserve"> </w:t>
      </w:r>
      <w:r w:rsidRPr="0064216C">
        <w:rPr>
          <w:lang w:val="en-IE"/>
        </w:rPr>
        <w:tab/>
        <w:t>Country visit Czechia, Czech Bar Association</w:t>
      </w:r>
      <w:r>
        <w:rPr>
          <w:lang w:val="en-IE"/>
        </w:rPr>
        <w:t xml:space="preserve"> and</w:t>
      </w:r>
      <w:r w:rsidRPr="0064216C">
        <w:rPr>
          <w:lang w:val="en-IE"/>
        </w:rPr>
        <w:t xml:space="preserve"> Glopolis.</w:t>
      </w:r>
    </w:p>
  </w:footnote>
  <w:footnote w:id="37">
    <w:p w14:paraId="5479E2D5" w14:textId="6757BDF4" w:rsidR="000F51FC" w:rsidRPr="0064216C" w:rsidRDefault="000F51FC" w:rsidP="0072797F">
      <w:pPr>
        <w:pStyle w:val="FootnoteText"/>
        <w:rPr>
          <w:lang w:val="en-IE"/>
        </w:rPr>
      </w:pPr>
      <w:r w:rsidRPr="0064216C">
        <w:rPr>
          <w:rStyle w:val="FootnoteReference"/>
          <w:lang w:val="en-IE"/>
        </w:rPr>
        <w:footnoteRef/>
      </w:r>
      <w:r w:rsidRPr="0064216C">
        <w:rPr>
          <w:lang w:val="en-IE"/>
        </w:rPr>
        <w:t xml:space="preserve"> </w:t>
      </w:r>
      <w:r w:rsidRPr="0064216C">
        <w:rPr>
          <w:lang w:val="en-IE"/>
        </w:rPr>
        <w:tab/>
      </w:r>
      <w:r w:rsidRPr="00873C8E">
        <w:rPr>
          <w:lang w:val="en-IE"/>
        </w:rPr>
        <w:t>Print No. 67/0, draft amendment to the Construction Act;</w:t>
      </w:r>
      <w:r w:rsidRPr="0064216C">
        <w:rPr>
          <w:lang w:val="en-IE"/>
        </w:rPr>
        <w:t xml:space="preserve"> </w:t>
      </w:r>
      <w:r w:rsidRPr="003D69EC">
        <w:rPr>
          <w:rFonts w:eastAsia="Calibri" w:cs="Arial"/>
          <w:lang w:val="en-IE" w:eastAsia="en-US"/>
        </w:rPr>
        <w:t>ENNHRI (2026), written input.</w:t>
      </w:r>
    </w:p>
  </w:footnote>
  <w:footnote w:id="38">
    <w:p w14:paraId="62FFDE04" w14:textId="77777777" w:rsidR="000F51FC" w:rsidRPr="0064216C" w:rsidRDefault="000F51FC" w:rsidP="0072797F">
      <w:pPr>
        <w:pStyle w:val="FootnoteText"/>
        <w:rPr>
          <w:lang w:val="en-IE"/>
        </w:rPr>
      </w:pPr>
      <w:r w:rsidRPr="0064216C">
        <w:rPr>
          <w:rStyle w:val="FootnoteReference"/>
          <w:lang w:val="en-IE"/>
        </w:rPr>
        <w:footnoteRef/>
      </w:r>
      <w:r w:rsidRPr="0064216C">
        <w:rPr>
          <w:lang w:val="en-IE"/>
        </w:rPr>
        <w:t xml:space="preserve"> </w:t>
      </w:r>
      <w:r w:rsidRPr="0064216C">
        <w:rPr>
          <w:lang w:val="en-IE"/>
        </w:rPr>
        <w:tab/>
        <w:t xml:space="preserve">Czech Government (2026), written input, p. </w:t>
      </w:r>
      <w:r w:rsidRPr="004C3AFB">
        <w:rPr>
          <w:lang w:val="en-IE"/>
        </w:rPr>
        <w:t>6</w:t>
      </w:r>
      <w:r w:rsidRPr="0064216C">
        <w:rPr>
          <w:lang w:val="en-IE"/>
        </w:rPr>
        <w:t xml:space="preserve">. See also 2025 Rule of Law Report, Czechia, p. 6. </w:t>
      </w:r>
    </w:p>
  </w:footnote>
  <w:footnote w:id="39">
    <w:p w14:paraId="0CF53B17" w14:textId="77777777" w:rsidR="000F51FC" w:rsidRPr="00A90295" w:rsidRDefault="000F51FC" w:rsidP="0072797F">
      <w:pPr>
        <w:pStyle w:val="FootnoteText"/>
        <w:rPr>
          <w:lang w:val="en-IE"/>
        </w:rPr>
      </w:pPr>
      <w:r w:rsidRPr="0064216C">
        <w:rPr>
          <w:rStyle w:val="FootnoteReference"/>
          <w:lang w:val="en-IE"/>
        </w:rPr>
        <w:footnoteRef/>
      </w:r>
      <w:r w:rsidRPr="00A90295">
        <w:rPr>
          <w:lang w:val="en-IE"/>
        </w:rPr>
        <w:t xml:space="preserve">  </w:t>
      </w:r>
      <w:r w:rsidRPr="00A90295">
        <w:rPr>
          <w:lang w:val="en-IE"/>
        </w:rPr>
        <w:tab/>
        <w:t>Figures 1-14, 2026 EU Justice Scoreboard.</w:t>
      </w:r>
    </w:p>
  </w:footnote>
  <w:footnote w:id="40">
    <w:p w14:paraId="36E88998" w14:textId="77777777" w:rsidR="000F51FC" w:rsidRPr="00A90295" w:rsidRDefault="000F51FC" w:rsidP="0072797F">
      <w:pPr>
        <w:pStyle w:val="FootnoteText"/>
        <w:rPr>
          <w:lang w:val="en-IE"/>
        </w:rPr>
      </w:pPr>
      <w:r w:rsidRPr="0064216C">
        <w:rPr>
          <w:rStyle w:val="FootnoteReference"/>
          <w:lang w:val="en-IE"/>
        </w:rPr>
        <w:footnoteRef/>
      </w:r>
      <w:r w:rsidRPr="00A90295">
        <w:rPr>
          <w:lang w:val="en-IE"/>
        </w:rPr>
        <w:t xml:space="preserve">  </w:t>
      </w:r>
      <w:r w:rsidRPr="00A90295">
        <w:rPr>
          <w:lang w:val="en-IE"/>
        </w:rPr>
        <w:tab/>
        <w:t>Figure 21, 2026 EU Justice Scoreboard.</w:t>
      </w:r>
    </w:p>
  </w:footnote>
  <w:footnote w:id="41">
    <w:p w14:paraId="11F35474" w14:textId="4AF2AD16"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The level of perceived corruption is categorised as follows: low (above 79); relatively low (between 79-60), relatively high (between 59-50), high (below 50).</w:t>
      </w:r>
    </w:p>
  </w:footnote>
  <w:footnote w:id="42">
    <w:p w14:paraId="3EFB9D83" w14:textId="73E96A3A"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In 2021 the score was 54, while, in 2025, the score is 59. The score significantly increases/decreases when it changes more than five points; improves/deteriorates (changes between 4-5 points); is relatively stable</w:t>
      </w:r>
      <w:r w:rsidR="009169CE">
        <w:rPr>
          <w:lang w:val="en-IE"/>
        </w:rPr>
        <w:t xml:space="preserve"> </w:t>
      </w:r>
      <w:r w:rsidRPr="0064216C">
        <w:rPr>
          <w:lang w:val="en-IE"/>
        </w:rPr>
        <w:t>(changes from 1-3 points) in the last five years.</w:t>
      </w:r>
    </w:p>
  </w:footnote>
  <w:footnote w:id="43">
    <w:p w14:paraId="55D68D58" w14:textId="77777777" w:rsidR="000F51FC" w:rsidRPr="0064216C" w:rsidRDefault="000F51FC" w:rsidP="0072797F">
      <w:pPr>
        <w:pStyle w:val="FootnoteText"/>
        <w:rPr>
          <w:lang w:val="en-IE"/>
        </w:rPr>
      </w:pPr>
      <w:r w:rsidRPr="0064216C">
        <w:rPr>
          <w:rStyle w:val="FootnoteReference"/>
          <w:lang w:val="en-IE"/>
        </w:rPr>
        <w:footnoteRef/>
      </w:r>
      <w:r w:rsidRPr="0064216C">
        <w:rPr>
          <w:lang w:val="en-IE"/>
        </w:rPr>
        <w:t xml:space="preserve"> </w:t>
      </w:r>
      <w:r w:rsidRPr="0064216C">
        <w:rPr>
          <w:lang w:val="en-IE"/>
        </w:rPr>
        <w:tab/>
        <w:t xml:space="preserve">Data from Special Eurobarometer </w:t>
      </w:r>
      <w:r>
        <w:rPr>
          <w:lang w:val="en-IE"/>
        </w:rPr>
        <w:t>573</w:t>
      </w:r>
      <w:r w:rsidRPr="0064216C">
        <w:rPr>
          <w:lang w:val="en-IE"/>
        </w:rPr>
        <w:t xml:space="preserve"> (202</w:t>
      </w:r>
      <w:r>
        <w:rPr>
          <w:lang w:val="en-IE"/>
        </w:rPr>
        <w:t>6</w:t>
      </w:r>
      <w:r w:rsidRPr="0064216C">
        <w:rPr>
          <w:lang w:val="en-IE"/>
        </w:rPr>
        <w:t xml:space="preserve">) and Flash Eurobarometer </w:t>
      </w:r>
      <w:r>
        <w:rPr>
          <w:lang w:val="en-IE"/>
        </w:rPr>
        <w:t>582</w:t>
      </w:r>
      <w:r w:rsidRPr="0064216C">
        <w:rPr>
          <w:lang w:val="en-IE"/>
        </w:rPr>
        <w:t xml:space="preserve"> (202</w:t>
      </w:r>
      <w:r>
        <w:rPr>
          <w:lang w:val="en-IE"/>
        </w:rPr>
        <w:t>6</w:t>
      </w:r>
      <w:r w:rsidRPr="0064216C">
        <w:rPr>
          <w:lang w:val="en-IE"/>
        </w:rPr>
        <w:t>).</w:t>
      </w:r>
    </w:p>
  </w:footnote>
  <w:footnote w:id="44">
    <w:p w14:paraId="22F9523F" w14:textId="6F114FE7" w:rsidR="000F51FC" w:rsidRPr="0064216C" w:rsidRDefault="000F51FC" w:rsidP="00590B30">
      <w:pPr>
        <w:pStyle w:val="FootnoteText"/>
        <w:rPr>
          <w:lang w:val="en-IE"/>
        </w:rPr>
      </w:pPr>
      <w:r w:rsidRPr="0064216C">
        <w:rPr>
          <w:rStyle w:val="FootnoteReference"/>
          <w:lang w:val="en-IE"/>
        </w:rPr>
        <w:footnoteRef/>
      </w:r>
      <w:r w:rsidRPr="0064216C">
        <w:rPr>
          <w:lang w:val="en-IE"/>
        </w:rPr>
        <w:tab/>
        <w:t>Czech Government (2026), written input, p. 10</w:t>
      </w:r>
      <w:r>
        <w:rPr>
          <w:lang w:val="en-IE"/>
        </w:rPr>
        <w:t xml:space="preserve"> and </w:t>
      </w:r>
      <w:r w:rsidRPr="00A02F48">
        <w:rPr>
          <w:lang w:val="en-IE"/>
        </w:rPr>
        <w:t>Ministry of Justice (2026b</w:t>
      </w:r>
      <w:r w:rsidR="00A02F48">
        <w:rPr>
          <w:lang w:val="en-IE"/>
        </w:rPr>
        <w:t>)</w:t>
      </w:r>
      <w:r>
        <w:rPr>
          <w:lang w:val="en-IE"/>
        </w:rPr>
        <w:t>. Notably, the three remaining tasks in the first pillar of the strategy on “a</w:t>
      </w:r>
      <w:r w:rsidRPr="003B1FCE">
        <w:rPr>
          <w:lang w:val="en-IE"/>
        </w:rPr>
        <w:t>n effective and independent public authorit</w:t>
      </w:r>
      <w:r>
        <w:rPr>
          <w:lang w:val="en-IE"/>
        </w:rPr>
        <w:t xml:space="preserve">y” have not been implemented. This includes in particular further work on GRECO’s recommendations and the introduction of a Code of Ethics for civil servants. </w:t>
      </w:r>
    </w:p>
  </w:footnote>
  <w:footnote w:id="45">
    <w:p w14:paraId="51D4F63B"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Country visit Czechia, Ministry of Justice.</w:t>
      </w:r>
    </w:p>
  </w:footnote>
  <w:footnote w:id="46">
    <w:p w14:paraId="71F709E0"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Transparency International Czechia (2025a).</w:t>
      </w:r>
    </w:p>
  </w:footnote>
  <w:footnote w:id="47">
    <w:p w14:paraId="2D42CB6A"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ab/>
        <w:t>Country visit Czechia, Ministry of Justice.</w:t>
      </w:r>
    </w:p>
  </w:footnote>
  <w:footnote w:id="48">
    <w:p w14:paraId="768270DB" w14:textId="523C0535" w:rsidR="000F51FC" w:rsidRPr="0064216C" w:rsidRDefault="000F51FC" w:rsidP="00590B30">
      <w:pPr>
        <w:pStyle w:val="FootnoteText"/>
        <w:rPr>
          <w:lang w:val="en-IE"/>
        </w:rPr>
      </w:pPr>
      <w:r w:rsidRPr="0064216C">
        <w:rPr>
          <w:rStyle w:val="FootnoteReference"/>
          <w:sz w:val="22"/>
          <w:lang w:val="en-IE"/>
        </w:rPr>
        <w:footnoteRef/>
      </w:r>
      <w:r w:rsidRPr="0064216C">
        <w:rPr>
          <w:sz w:val="22"/>
          <w:szCs w:val="22"/>
          <w:lang w:val="en-IE"/>
        </w:rPr>
        <w:t xml:space="preserve"> </w:t>
      </w:r>
      <w:r w:rsidRPr="0064216C">
        <w:rPr>
          <w:sz w:val="22"/>
          <w:szCs w:val="22"/>
          <w:lang w:val="en-IE"/>
        </w:rPr>
        <w:tab/>
      </w:r>
      <w:r w:rsidRPr="0064216C">
        <w:rPr>
          <w:lang w:val="en-IE"/>
        </w:rPr>
        <w:t xml:space="preserve">No extra resources have been planned so far to be assigned to the responsible department in the Ministry of Justice, although an internal reorganisation of posts lead to some additional people in the department. </w:t>
      </w:r>
      <w:r w:rsidRPr="0064216C">
        <w:rPr>
          <w:color w:val="000000"/>
          <w:lang w:val="en-IE"/>
        </w:rPr>
        <w:t>S</w:t>
      </w:r>
      <w:r w:rsidRPr="0064216C">
        <w:rPr>
          <w:lang w:val="en-IE"/>
        </w:rPr>
        <w:t>ome civil society organisations consider this lack of resources puts at risk the broader implementation of the anti-corruption policy</w:t>
      </w:r>
      <w:r w:rsidRPr="0064216C">
        <w:rPr>
          <w:rStyle w:val="FootnoteReference"/>
          <w:lang w:val="en-IE"/>
        </w:rPr>
        <w:t xml:space="preserve"> </w:t>
      </w:r>
      <w:r w:rsidRPr="0064216C">
        <w:rPr>
          <w:lang w:val="en-IE"/>
        </w:rPr>
        <w:t xml:space="preserve">and </w:t>
      </w:r>
      <w:r w:rsidRPr="0064216C">
        <w:rPr>
          <w:color w:val="000000"/>
          <w:lang w:val="en-IE"/>
        </w:rPr>
        <w:t xml:space="preserve">the </w:t>
      </w:r>
      <w:r w:rsidRPr="0064216C">
        <w:rPr>
          <w:lang w:val="en-IE"/>
        </w:rPr>
        <w:t>Anti-Corruption Council already issued a recommendation on this topic to the government in 2023. 2025 Rule of Law Report, Czechia, pp. 7-8 and Country visit Czechia, Transparency International/Lobbio and Ministry of Justice.</w:t>
      </w:r>
    </w:p>
  </w:footnote>
  <w:footnote w:id="49">
    <w:p w14:paraId="0530691D"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ab/>
        <w:t>Czech Government (2026), written input, p. 15</w:t>
      </w:r>
      <w:r>
        <w:rPr>
          <w:lang w:val="en-IE"/>
        </w:rPr>
        <w:t>.</w:t>
      </w:r>
    </w:p>
  </w:footnote>
  <w:footnote w:id="50">
    <w:p w14:paraId="2D3D3236" w14:textId="235604EA" w:rsidR="000F51FC" w:rsidRPr="0094125E" w:rsidRDefault="000F51FC" w:rsidP="00590B30">
      <w:pPr>
        <w:pStyle w:val="FootnoteText"/>
        <w:rPr>
          <w:lang w:val="en-IE"/>
        </w:rPr>
      </w:pPr>
      <w:r w:rsidRPr="0094125E">
        <w:rPr>
          <w:rStyle w:val="FootnoteReference"/>
          <w:lang w:val="en-IE"/>
        </w:rPr>
        <w:footnoteRef/>
      </w:r>
      <w:r w:rsidRPr="0094125E">
        <w:rPr>
          <w:lang w:val="en-IE"/>
        </w:rPr>
        <w:t xml:space="preserve"> </w:t>
      </w:r>
      <w:r w:rsidRPr="0094125E">
        <w:rPr>
          <w:lang w:val="en-IE"/>
        </w:rPr>
        <w:tab/>
        <w:t>Ministry of Interior and</w:t>
      </w:r>
      <w:r w:rsidR="002451B6" w:rsidRPr="0094125E">
        <w:rPr>
          <w:lang w:val="en-IE"/>
        </w:rPr>
        <w:t xml:space="preserve"> National Agency against Organised Crime</w:t>
      </w:r>
      <w:r w:rsidRPr="0094125E">
        <w:rPr>
          <w:lang w:val="en-IE"/>
        </w:rPr>
        <w:t xml:space="preserve"> </w:t>
      </w:r>
      <w:r w:rsidR="002451B6" w:rsidRPr="0094125E">
        <w:rPr>
          <w:lang w:val="en-IE"/>
        </w:rPr>
        <w:t>(</w:t>
      </w:r>
      <w:r w:rsidRPr="0094125E">
        <w:rPr>
          <w:lang w:val="en-IE"/>
        </w:rPr>
        <w:t>NCOZ</w:t>
      </w:r>
      <w:r w:rsidR="002451B6" w:rsidRPr="0094125E">
        <w:rPr>
          <w:lang w:val="en-IE"/>
        </w:rPr>
        <w:t>)</w:t>
      </w:r>
      <w:r w:rsidRPr="0094125E">
        <w:rPr>
          <w:lang w:val="en-IE"/>
        </w:rPr>
        <w:t xml:space="preserve"> (2026) and Public Prosecution Service (2026).</w:t>
      </w:r>
    </w:p>
  </w:footnote>
  <w:footnote w:id="51">
    <w:p w14:paraId="1FBC0FB2" w14:textId="77777777" w:rsidR="000F51FC" w:rsidRPr="0094125E" w:rsidRDefault="000F51FC" w:rsidP="00590B30">
      <w:pPr>
        <w:pStyle w:val="FootnoteText"/>
        <w:rPr>
          <w:lang w:val="en-IE"/>
        </w:rPr>
      </w:pPr>
      <w:r w:rsidRPr="0094125E">
        <w:rPr>
          <w:rStyle w:val="FootnoteReference"/>
          <w:lang w:val="en-IE"/>
        </w:rPr>
        <w:footnoteRef/>
      </w:r>
      <w:r w:rsidRPr="0094125E">
        <w:rPr>
          <w:lang w:val="en-IE"/>
        </w:rPr>
        <w:t xml:space="preserve"> </w:t>
      </w:r>
      <w:r w:rsidRPr="0094125E">
        <w:rPr>
          <w:lang w:val="en-IE"/>
        </w:rPr>
        <w:tab/>
        <w:t>This includes indictments, motions for punishments, and agreements on guilt and punishment.</w:t>
      </w:r>
    </w:p>
  </w:footnote>
  <w:footnote w:id="52">
    <w:p w14:paraId="0CB2DD7C" w14:textId="77777777" w:rsidR="000F51FC" w:rsidRPr="0094125E" w:rsidRDefault="000F51FC" w:rsidP="00590B30">
      <w:pPr>
        <w:pStyle w:val="FootnoteText"/>
        <w:rPr>
          <w:lang w:val="en-IE"/>
        </w:rPr>
      </w:pPr>
      <w:r w:rsidRPr="0094125E">
        <w:rPr>
          <w:rStyle w:val="FootnoteReference"/>
          <w:lang w:val="en-IE"/>
        </w:rPr>
        <w:footnoteRef/>
      </w:r>
      <w:r w:rsidRPr="0094125E">
        <w:rPr>
          <w:lang w:val="en-IE"/>
        </w:rPr>
        <w:t xml:space="preserve"> </w:t>
      </w:r>
      <w:r w:rsidRPr="0094125E">
        <w:rPr>
          <w:lang w:val="en-IE"/>
        </w:rPr>
        <w:tab/>
        <w:t>Public Prosecution Service (2026).</w:t>
      </w:r>
    </w:p>
  </w:footnote>
  <w:footnote w:id="53">
    <w:p w14:paraId="44E78BE7" w14:textId="27AF2B38" w:rsidR="000F51FC" w:rsidRPr="0064216C" w:rsidRDefault="000F51FC" w:rsidP="00590B30">
      <w:pPr>
        <w:pStyle w:val="FootnoteText"/>
        <w:rPr>
          <w:lang w:val="en-IE"/>
        </w:rPr>
      </w:pPr>
      <w:r w:rsidRPr="0094125E">
        <w:rPr>
          <w:rStyle w:val="FootnoteReference"/>
          <w:lang w:val="en-IE"/>
        </w:rPr>
        <w:footnoteRef/>
      </w:r>
      <w:r w:rsidRPr="0094125E">
        <w:rPr>
          <w:lang w:val="en-IE"/>
        </w:rPr>
        <w:t xml:space="preserve"> </w:t>
      </w:r>
      <w:r w:rsidRPr="0094125E">
        <w:rPr>
          <w:lang w:val="en-IE"/>
        </w:rPr>
        <w:tab/>
        <w:t>For example, d</w:t>
      </w:r>
      <w:r w:rsidRPr="0094125E">
        <w:rPr>
          <w:rFonts w:cs="Arial"/>
          <w:color w:val="000000"/>
          <w:lang w:val="en-IE"/>
        </w:rPr>
        <w:t>evelopment of the uniform</w:t>
      </w:r>
      <w:r w:rsidRPr="0064216C">
        <w:rPr>
          <w:rFonts w:cs="Arial"/>
          <w:color w:val="000000"/>
          <w:lang w:val="en-IE"/>
        </w:rPr>
        <w:t xml:space="preserve"> analytical tool - </w:t>
      </w:r>
      <w:r w:rsidRPr="0064216C">
        <w:rPr>
          <w:lang w:val="en-IE"/>
        </w:rPr>
        <w:t>a digital solution to input data and analysis uncovered during investigations in a uniform and standardised manner</w:t>
      </w:r>
      <w:r w:rsidRPr="0064216C">
        <w:rPr>
          <w:rStyle w:val="FootnoteReference"/>
          <w:rFonts w:cs="Arial"/>
          <w:color w:val="000000"/>
          <w:lang w:val="en-IE"/>
        </w:rPr>
        <w:t xml:space="preserve"> </w:t>
      </w:r>
      <w:r w:rsidRPr="0064216C">
        <w:rPr>
          <w:rFonts w:cs="Arial"/>
          <w:color w:val="000000"/>
          <w:lang w:val="en-IE"/>
        </w:rPr>
        <w:t>- for investigators continues</w:t>
      </w:r>
      <w:r w:rsidRPr="0064216C">
        <w:rPr>
          <w:lang w:val="en-IE"/>
        </w:rPr>
        <w:t xml:space="preserve"> Czech Government (2026), written input, p. 2 and Country visit Czechia, National Agency against Organised Crime</w:t>
      </w:r>
      <w:r w:rsidR="002451B6">
        <w:rPr>
          <w:lang w:val="en-IE"/>
        </w:rPr>
        <w:t xml:space="preserve"> (NCOZ)</w:t>
      </w:r>
      <w:r w:rsidRPr="0064216C">
        <w:rPr>
          <w:lang w:val="en-IE"/>
        </w:rPr>
        <w:t>.</w:t>
      </w:r>
    </w:p>
  </w:footnote>
  <w:footnote w:id="54">
    <w:p w14:paraId="01EEFD0E"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r>
      <w:r>
        <w:rPr>
          <w:lang w:val="en-IE"/>
        </w:rPr>
        <w:t xml:space="preserve">As noted previously, in </w:t>
      </w:r>
      <w:r w:rsidRPr="0064216C">
        <w:rPr>
          <w:lang w:val="en-IE"/>
        </w:rPr>
        <w:t>2024 Rule of Law Report, Czechia, p. 12.</w:t>
      </w:r>
    </w:p>
  </w:footnote>
  <w:footnote w:id="55">
    <w:p w14:paraId="486EB749" w14:textId="37AAF119" w:rsidR="000F51FC" w:rsidRPr="007F082C" w:rsidRDefault="000F51FC" w:rsidP="0072797F">
      <w:pPr>
        <w:pStyle w:val="FootnoteText"/>
        <w:rPr>
          <w:rFonts w:eastAsia="Calibri" w:cs="Arial"/>
          <w:lang w:val="it-IT" w:eastAsia="en-US"/>
        </w:rPr>
      </w:pPr>
      <w:r w:rsidRPr="00D451D3">
        <w:rPr>
          <w:rStyle w:val="FootnoteReference"/>
        </w:rPr>
        <w:footnoteRef/>
      </w:r>
      <w:r w:rsidRPr="007F082C">
        <w:rPr>
          <w:lang w:val="it-IT"/>
        </w:rPr>
        <w:t xml:space="preserve"> </w:t>
      </w:r>
      <w:r w:rsidRPr="007F082C">
        <w:rPr>
          <w:lang w:val="it-IT"/>
        </w:rPr>
        <w:tab/>
      </w:r>
      <w:r w:rsidRPr="007F082C">
        <w:rPr>
          <w:rFonts w:eastAsia="Calibri" w:cs="Arial"/>
          <w:lang w:val="it-IT" w:eastAsia="en-US"/>
        </w:rPr>
        <w:t>EPPO (2026), pp. 13-14.</w:t>
      </w:r>
    </w:p>
  </w:footnote>
  <w:footnote w:id="56">
    <w:p w14:paraId="5A7A4403" w14:textId="18E051FC" w:rsidR="000F51FC" w:rsidRPr="007F082C" w:rsidRDefault="000F51FC" w:rsidP="0072797F">
      <w:pPr>
        <w:pStyle w:val="FootnoteText"/>
        <w:rPr>
          <w:lang w:val="it-IT"/>
        </w:rPr>
      </w:pPr>
      <w:r w:rsidRPr="007F082C">
        <w:rPr>
          <w:rStyle w:val="FootnoteReference"/>
          <w:rFonts w:eastAsia="Calibri" w:cs="Arial"/>
          <w:lang w:val="en-IE" w:eastAsia="en-US"/>
        </w:rPr>
        <w:footnoteRef/>
      </w:r>
      <w:r w:rsidRPr="007F082C">
        <w:rPr>
          <w:rFonts w:eastAsia="Calibri" w:cs="Arial"/>
          <w:lang w:val="it-IT" w:eastAsia="en-US"/>
        </w:rPr>
        <w:t xml:space="preserve"> </w:t>
      </w:r>
      <w:r w:rsidRPr="007F082C">
        <w:rPr>
          <w:rFonts w:eastAsia="Calibri" w:cs="Arial"/>
          <w:lang w:val="it-IT" w:eastAsia="en-US"/>
        </w:rPr>
        <w:tab/>
      </w:r>
      <w:r w:rsidRPr="007F082C">
        <w:rPr>
          <w:rFonts w:eastAsia="Calibri"/>
          <w:lang w:val="it-IT"/>
        </w:rPr>
        <w:t>EPPO (2026</w:t>
      </w:r>
      <w:r w:rsidR="00597C59">
        <w:rPr>
          <w:rFonts w:eastAsia="Calibri"/>
          <w:lang w:val="it-IT"/>
        </w:rPr>
        <w:t>a</w:t>
      </w:r>
      <w:r w:rsidRPr="007F082C">
        <w:rPr>
          <w:rFonts w:eastAsia="Calibri"/>
          <w:lang w:val="it-IT"/>
        </w:rPr>
        <w:t xml:space="preserve">), Annual Report 2025, </w:t>
      </w:r>
      <w:r w:rsidRPr="007F082C">
        <w:rPr>
          <w:rFonts w:eastAsia="Calibri" w:cs="Arial"/>
          <w:lang w:val="it-IT" w:eastAsia="en-US"/>
        </w:rPr>
        <w:t>p. 21.</w:t>
      </w:r>
    </w:p>
  </w:footnote>
  <w:footnote w:id="57">
    <w:p w14:paraId="1F90056D" w14:textId="05871B3A" w:rsidR="000F51FC" w:rsidRPr="0064216C" w:rsidRDefault="000F51FC" w:rsidP="0072797F">
      <w:pPr>
        <w:pStyle w:val="FootnoteText"/>
        <w:rPr>
          <w:lang w:val="en-IE"/>
        </w:rPr>
      </w:pPr>
      <w:r w:rsidRPr="0064216C">
        <w:rPr>
          <w:rStyle w:val="FootnoteReference"/>
          <w:lang w:val="en-IE"/>
        </w:rPr>
        <w:footnoteRef/>
      </w:r>
      <w:r w:rsidRPr="0064216C">
        <w:rPr>
          <w:lang w:val="en-IE"/>
        </w:rPr>
        <w:t xml:space="preserve"> </w:t>
      </w:r>
      <w:r w:rsidRPr="0064216C">
        <w:rPr>
          <w:lang w:val="en-IE"/>
        </w:rPr>
        <w:tab/>
      </w:r>
      <w:r w:rsidRPr="0064216C">
        <w:rPr>
          <w:color w:val="000000"/>
          <w:lang w:val="en-IE"/>
        </w:rPr>
        <w:t xml:space="preserve">The </w:t>
      </w:r>
      <w:r w:rsidRPr="0064216C">
        <w:rPr>
          <w:lang w:val="en-IE"/>
        </w:rPr>
        <w:t>2025</w:t>
      </w:r>
      <w:r w:rsidRPr="0064216C">
        <w:rPr>
          <w:color w:val="000000"/>
          <w:lang w:val="en-IE"/>
        </w:rPr>
        <w:t xml:space="preserve"> Rule of Law Report recommended </w:t>
      </w:r>
      <w:r w:rsidR="00B03755">
        <w:rPr>
          <w:color w:val="000000"/>
          <w:lang w:val="en-IE"/>
        </w:rPr>
        <w:t xml:space="preserve">to </w:t>
      </w:r>
      <w:r w:rsidRPr="0064216C">
        <w:rPr>
          <w:color w:val="000000"/>
          <w:lang w:val="en-IE"/>
        </w:rPr>
        <w:t>Czechia to “Take further measures to reduce the length of proceedings and ensure independence of investigation and prosecution in high-level corruption cases.” Some progress was previously assessed on this recommendation in 2025 and 2024, and no progress in 2023.</w:t>
      </w:r>
    </w:p>
  </w:footnote>
  <w:footnote w:id="58">
    <w:p w14:paraId="732CF45F" w14:textId="77777777" w:rsidR="000F51FC" w:rsidRPr="0064216C" w:rsidRDefault="000F51FC" w:rsidP="0072797F">
      <w:pPr>
        <w:pStyle w:val="FootnoteText"/>
        <w:rPr>
          <w:lang w:val="en-IE"/>
        </w:rPr>
      </w:pPr>
      <w:r w:rsidRPr="0064216C">
        <w:rPr>
          <w:rStyle w:val="FootnoteReference"/>
          <w:lang w:val="en-IE"/>
        </w:rPr>
        <w:footnoteRef/>
      </w:r>
      <w:r w:rsidRPr="0064216C">
        <w:rPr>
          <w:rStyle w:val="FootnoteReference"/>
          <w:lang w:val="en-IE"/>
        </w:rPr>
        <w:t xml:space="preserve"> </w:t>
      </w:r>
      <w:r w:rsidRPr="0064216C">
        <w:rPr>
          <w:lang w:val="en-IE"/>
        </w:rPr>
        <w:tab/>
        <w:t xml:space="preserve">Examples of high-level corruption cases include the Dozimetr procurement scandal linked to Prague municipal transport, the Brno municipal apartments sales case, and corruption cases in the IKEM and Motol hospitals and cities of Olomouc and Pardubice. See 2025 Rule of Law Report, Czechia, p. 8. </w:t>
      </w:r>
    </w:p>
  </w:footnote>
  <w:footnote w:id="59">
    <w:p w14:paraId="1EA7CF2F" w14:textId="77777777" w:rsidR="000F51FC" w:rsidRPr="0064216C" w:rsidRDefault="000F51FC" w:rsidP="0072797F">
      <w:pPr>
        <w:pStyle w:val="FootnoteText"/>
        <w:rPr>
          <w:lang w:val="en-IE"/>
        </w:rPr>
      </w:pPr>
      <w:r w:rsidRPr="0064216C">
        <w:rPr>
          <w:rStyle w:val="FootnoteReference"/>
          <w:lang w:val="en-IE"/>
        </w:rPr>
        <w:footnoteRef/>
      </w:r>
      <w:r w:rsidRPr="0064216C">
        <w:rPr>
          <w:lang w:val="en-IE"/>
        </w:rPr>
        <w:t xml:space="preserve"> </w:t>
      </w:r>
      <w:r w:rsidRPr="0064216C">
        <w:rPr>
          <w:lang w:val="en-IE"/>
        </w:rPr>
        <w:tab/>
        <w:t>Czech Government (2026), written input, pp. 2-3</w:t>
      </w:r>
      <w:r>
        <w:rPr>
          <w:lang w:val="en-IE"/>
        </w:rPr>
        <w:t xml:space="preserve"> and Ministry of Justice (2026)</w:t>
      </w:r>
      <w:r w:rsidRPr="0064216C">
        <w:rPr>
          <w:lang w:val="en-IE"/>
        </w:rPr>
        <w:t>.</w:t>
      </w:r>
    </w:p>
  </w:footnote>
  <w:footnote w:id="60">
    <w:p w14:paraId="26C3FC7E" w14:textId="77777777" w:rsidR="000F51FC" w:rsidRPr="0064216C" w:rsidRDefault="000F51FC" w:rsidP="0072797F">
      <w:pPr>
        <w:pStyle w:val="FootnoteText"/>
        <w:rPr>
          <w:lang w:val="en-IE"/>
        </w:rPr>
      </w:pPr>
      <w:r w:rsidRPr="0064216C">
        <w:rPr>
          <w:rStyle w:val="FootnoteReference"/>
          <w:lang w:val="en-IE"/>
        </w:rPr>
        <w:footnoteRef/>
      </w:r>
      <w:r w:rsidRPr="0064216C">
        <w:rPr>
          <w:lang w:val="en-IE"/>
        </w:rPr>
        <w:t xml:space="preserve"> </w:t>
      </w:r>
      <w:r w:rsidRPr="0064216C">
        <w:rPr>
          <w:lang w:val="en-IE"/>
        </w:rPr>
        <w:tab/>
        <w:t xml:space="preserve">The average length of bribery cases before first instance criminal courts was </w:t>
      </w:r>
      <w:r>
        <w:rPr>
          <w:lang w:val="en-IE"/>
        </w:rPr>
        <w:t>fourth</w:t>
      </w:r>
      <w:r w:rsidRPr="0064216C">
        <w:rPr>
          <w:lang w:val="en-IE"/>
        </w:rPr>
        <w:t xml:space="preserve"> longest in the EU (380 days on average in 2024). Figure 21, 2026 EU Justice Scoreboard. See also 2024 Rule of Law report, Czechia, pp. 11-12 and 2025 Rule of Law Report, Czechia, p. 8.</w:t>
      </w:r>
    </w:p>
  </w:footnote>
  <w:footnote w:id="61">
    <w:p w14:paraId="47BA2D03" w14:textId="197C93B8" w:rsidR="000F51FC" w:rsidRPr="0064216C" w:rsidRDefault="000F51FC" w:rsidP="0072797F">
      <w:pPr>
        <w:pStyle w:val="FootnoteText"/>
        <w:rPr>
          <w:lang w:val="en-IE"/>
        </w:rPr>
      </w:pPr>
      <w:r w:rsidRPr="0064216C">
        <w:rPr>
          <w:rStyle w:val="FootnoteReference"/>
          <w:lang w:val="en-IE"/>
        </w:rPr>
        <w:footnoteRef/>
      </w:r>
      <w:r w:rsidRPr="0064216C">
        <w:rPr>
          <w:lang w:val="en-IE"/>
        </w:rPr>
        <w:t xml:space="preserve">  </w:t>
      </w:r>
      <w:r>
        <w:rPr>
          <w:lang w:val="en-IE"/>
        </w:rPr>
        <w:tab/>
      </w:r>
      <w:r w:rsidRPr="0064216C">
        <w:rPr>
          <w:lang w:val="en-IE"/>
        </w:rPr>
        <w:t xml:space="preserve">Ministry of Justice (2026) and </w:t>
      </w:r>
      <w:r w:rsidRPr="007F082C">
        <w:rPr>
          <w:rFonts w:eastAsia="Calibri" w:cs="Arial"/>
          <w:lang w:val="en-IE" w:eastAsia="en-US"/>
        </w:rPr>
        <w:t>Public Prosecution Service (2026</w:t>
      </w:r>
      <w:r w:rsidRPr="007F082C">
        <w:rPr>
          <w:lang w:val="en-IE"/>
        </w:rPr>
        <w:t>)</w:t>
      </w:r>
      <w:r w:rsidR="00CB2B0A" w:rsidRPr="007F082C">
        <w:rPr>
          <w:lang w:val="en-IE"/>
        </w:rPr>
        <w:t>,</w:t>
      </w:r>
      <w:r w:rsidR="00CB2B0A">
        <w:rPr>
          <w:lang w:val="en-IE"/>
        </w:rPr>
        <w:t xml:space="preserve"> written input</w:t>
      </w:r>
      <w:r w:rsidRPr="0064216C">
        <w:rPr>
          <w:lang w:val="en-IE"/>
        </w:rPr>
        <w:t>. According to data of the prosecution, the average length of proceedings from the start of investigation to the final verdict ranged between 70 to 772 days in 2025, depending on the corruption offence, although this data is not disaggregated between regular and high-level cases (compared to 614 to 854 days in 2024).</w:t>
      </w:r>
    </w:p>
  </w:footnote>
  <w:footnote w:id="62">
    <w:p w14:paraId="4C5DB19E" w14:textId="77777777" w:rsidR="000F51FC" w:rsidRPr="0064216C" w:rsidRDefault="000F51FC" w:rsidP="0072797F">
      <w:pPr>
        <w:pStyle w:val="FootnoteText"/>
        <w:rPr>
          <w:lang w:val="en-IE"/>
        </w:rPr>
      </w:pPr>
      <w:r w:rsidRPr="0064216C">
        <w:rPr>
          <w:rStyle w:val="FootnoteReference"/>
          <w:lang w:val="en-IE"/>
        </w:rPr>
        <w:footnoteRef/>
      </w:r>
      <w:r w:rsidRPr="0064216C">
        <w:rPr>
          <w:lang w:val="en-IE"/>
        </w:rPr>
        <w:tab/>
      </w:r>
      <w:r w:rsidRPr="0064216C">
        <w:rPr>
          <w:color w:val="000000"/>
          <w:lang w:val="en-IE"/>
        </w:rPr>
        <w:t>Country visit Czechia, Transparency International/Lobbio</w:t>
      </w:r>
      <w:r w:rsidRPr="0064216C">
        <w:rPr>
          <w:lang w:val="en-IE"/>
        </w:rPr>
        <w:t xml:space="preserve"> and Transparency International Czechia (2026), written input, pp. 17-18.</w:t>
      </w:r>
    </w:p>
  </w:footnote>
  <w:footnote w:id="63">
    <w:p w14:paraId="4173D8F5" w14:textId="3ACE712A" w:rsidR="000F51FC" w:rsidRPr="0064216C" w:rsidRDefault="000F51FC" w:rsidP="0072797F">
      <w:pPr>
        <w:pStyle w:val="FootnoteText"/>
        <w:rPr>
          <w:lang w:val="en-IE"/>
        </w:rPr>
      </w:pPr>
      <w:r w:rsidRPr="0064216C">
        <w:rPr>
          <w:rStyle w:val="FootnoteReference"/>
          <w:lang w:val="en-IE"/>
        </w:rPr>
        <w:footnoteRef/>
      </w:r>
      <w:r w:rsidRPr="0064216C">
        <w:rPr>
          <w:lang w:val="en-IE"/>
        </w:rPr>
        <w:t xml:space="preserve"> </w:t>
      </w:r>
      <w:r w:rsidRPr="0064216C">
        <w:rPr>
          <w:lang w:val="en-IE"/>
        </w:rPr>
        <w:tab/>
      </w:r>
      <w:r w:rsidRPr="0064216C">
        <w:rPr>
          <w:color w:val="000000"/>
          <w:lang w:val="en-IE"/>
        </w:rPr>
        <w:t>Country visit Czechia, Union of Judges, Union of Prosecutors, Public Prosecution Office and Transparency International/Lobbio.</w:t>
      </w:r>
    </w:p>
  </w:footnote>
  <w:footnote w:id="64">
    <w:p w14:paraId="145711B0" w14:textId="1E7DB2DA" w:rsidR="000F51FC" w:rsidRPr="0064216C" w:rsidRDefault="000F51FC" w:rsidP="0072797F">
      <w:pPr>
        <w:pStyle w:val="FootnoteText"/>
        <w:rPr>
          <w:lang w:val="en-IE"/>
        </w:rPr>
      </w:pPr>
      <w:r w:rsidRPr="0064216C">
        <w:rPr>
          <w:rStyle w:val="FootnoteReference"/>
          <w:lang w:val="en-IE"/>
        </w:rPr>
        <w:footnoteRef/>
      </w:r>
      <w:r w:rsidRPr="0064216C">
        <w:rPr>
          <w:lang w:val="en-IE"/>
        </w:rPr>
        <w:tab/>
      </w:r>
      <w:r w:rsidRPr="0064216C">
        <w:rPr>
          <w:color w:val="000000"/>
          <w:lang w:val="en-IE"/>
        </w:rPr>
        <w:t xml:space="preserve">The </w:t>
      </w:r>
      <w:r w:rsidRPr="0064216C">
        <w:rPr>
          <w:lang w:val="en-IE"/>
        </w:rPr>
        <w:t>2025</w:t>
      </w:r>
      <w:r w:rsidRPr="0064216C">
        <w:rPr>
          <w:color w:val="000000"/>
          <w:lang w:val="en-IE"/>
        </w:rPr>
        <w:t xml:space="preserve"> Rule of Law Report recommended Czechia to “Reinitiate the revision of legislation on conflicts of interest, including as regards beneficial ownership</w:t>
      </w:r>
      <w:r w:rsidR="00FA190F" w:rsidRPr="5CC39424">
        <w:rPr>
          <w:color w:val="000000" w:themeColor="text1"/>
          <w:lang w:val="en-IE"/>
        </w:rPr>
        <w:t>.</w:t>
      </w:r>
      <w:r w:rsidRPr="0064216C">
        <w:rPr>
          <w:color w:val="000000"/>
          <w:lang w:val="en-IE"/>
        </w:rPr>
        <w:t>”</w:t>
      </w:r>
    </w:p>
  </w:footnote>
  <w:footnote w:id="65">
    <w:p w14:paraId="6B4E48E1" w14:textId="2C9D1863" w:rsidR="000F51FC" w:rsidRPr="0064216C" w:rsidRDefault="000F51FC" w:rsidP="0072797F">
      <w:pPr>
        <w:pStyle w:val="FootnoteText"/>
        <w:rPr>
          <w:lang w:val="en-IE"/>
        </w:rPr>
      </w:pPr>
      <w:r w:rsidRPr="0064216C">
        <w:rPr>
          <w:rStyle w:val="FootnoteReference"/>
          <w:lang w:val="en-IE"/>
        </w:rPr>
        <w:footnoteRef/>
      </w:r>
      <w:r w:rsidRPr="0064216C">
        <w:rPr>
          <w:lang w:val="en-IE"/>
        </w:rPr>
        <w:t xml:space="preserve"> </w:t>
      </w:r>
      <w:r w:rsidRPr="0064216C">
        <w:rPr>
          <w:lang w:val="en-IE"/>
        </w:rPr>
        <w:tab/>
        <w:t>The 2023 Rule of Law report recommended to</w:t>
      </w:r>
      <w:r w:rsidR="00FA190F">
        <w:rPr>
          <w:lang w:val="en-IE"/>
        </w:rPr>
        <w:t xml:space="preserve"> Czechia to</w:t>
      </w:r>
      <w:r w:rsidRPr="0064216C">
        <w:rPr>
          <w:lang w:val="en-IE"/>
        </w:rPr>
        <w:t xml:space="preserve"> “[c]omplete the revision of legislation on conflicts of interest, including by clarifying the definition of beneficial ownership.”</w:t>
      </w:r>
      <w:r w:rsidRPr="0064216C">
        <w:rPr>
          <w:color w:val="000000"/>
          <w:lang w:val="en-IE"/>
        </w:rPr>
        <w:t xml:space="preserve"> In 2024, this recommendation was considered fulfilled on the basis of the adoption of these legislative revisions. In 2025, following the ruling of the Constitutional Court, </w:t>
      </w:r>
      <w:r>
        <w:rPr>
          <w:color w:val="000000"/>
          <w:lang w:val="en-IE"/>
        </w:rPr>
        <w:t>the</w:t>
      </w:r>
      <w:r w:rsidRPr="0064216C">
        <w:rPr>
          <w:color w:val="000000"/>
          <w:lang w:val="en-IE"/>
        </w:rPr>
        <w:t xml:space="preserve"> recommendation was re-introduced. </w:t>
      </w:r>
    </w:p>
  </w:footnote>
  <w:footnote w:id="66">
    <w:p w14:paraId="354EC591" w14:textId="77777777" w:rsidR="000F51FC" w:rsidRPr="0064216C" w:rsidRDefault="000F51FC" w:rsidP="0072797F">
      <w:pPr>
        <w:pStyle w:val="FootnoteText"/>
        <w:rPr>
          <w:highlight w:val="yellow"/>
        </w:rPr>
      </w:pPr>
      <w:r w:rsidRPr="0064216C">
        <w:rPr>
          <w:rStyle w:val="FootnoteReference"/>
          <w:lang w:val="en-IE"/>
        </w:rPr>
        <w:footnoteRef/>
      </w:r>
      <w:r w:rsidRPr="0064216C">
        <w:tab/>
        <w:t>Czech Government (2026), written input</w:t>
      </w:r>
      <w:r>
        <w:t>,</w:t>
      </w:r>
      <w:r w:rsidRPr="0064216C">
        <w:t xml:space="preserve"> p. 5.</w:t>
      </w:r>
    </w:p>
  </w:footnote>
  <w:footnote w:id="67">
    <w:p w14:paraId="29FE1FD2" w14:textId="77777777" w:rsidR="000F51FC" w:rsidRPr="0064216C" w:rsidRDefault="000F51FC" w:rsidP="0072797F">
      <w:pPr>
        <w:pStyle w:val="FootnoteText"/>
      </w:pPr>
      <w:r w:rsidRPr="0064216C">
        <w:rPr>
          <w:rStyle w:val="FootnoteReference"/>
          <w:lang w:val="en-IE"/>
        </w:rPr>
        <w:footnoteRef/>
      </w:r>
      <w:r w:rsidRPr="0064216C">
        <w:tab/>
        <w:t xml:space="preserve">As also indicated by civil society. </w:t>
      </w:r>
      <w:r w:rsidRPr="0064216C">
        <w:rPr>
          <w:color w:val="000000"/>
        </w:rPr>
        <w:t>Country visit Czechia, Transparency International/Lobbio.</w:t>
      </w:r>
    </w:p>
  </w:footnote>
  <w:footnote w:id="68">
    <w:p w14:paraId="485F720D" w14:textId="42F4C0A6" w:rsidR="00D451D3" w:rsidRPr="007F082C" w:rsidRDefault="00D451D3">
      <w:pPr>
        <w:pStyle w:val="FootnoteText"/>
        <w:rPr>
          <w:lang w:val="en-US"/>
        </w:rPr>
      </w:pPr>
      <w:r>
        <w:rPr>
          <w:rStyle w:val="FootnoteReference"/>
        </w:rPr>
        <w:footnoteRef/>
      </w:r>
      <w:r>
        <w:tab/>
      </w:r>
      <w:r w:rsidR="00941A97">
        <w:t>Parliamentary Bill No.</w:t>
      </w:r>
      <w:r w:rsidR="00F67E38">
        <w:t xml:space="preserve"> 221</w:t>
      </w:r>
      <w:r w:rsidR="00912B8F">
        <w:t>.</w:t>
      </w:r>
    </w:p>
  </w:footnote>
  <w:footnote w:id="69">
    <w:p w14:paraId="0B332D31" w14:textId="428F7DD1" w:rsidR="0050733A" w:rsidRPr="00E11FB4" w:rsidRDefault="0050733A">
      <w:pPr>
        <w:pStyle w:val="FootnoteText"/>
        <w:rPr>
          <w:lang w:val="en-US"/>
        </w:rPr>
      </w:pPr>
      <w:r>
        <w:rPr>
          <w:rStyle w:val="FootnoteReference"/>
        </w:rPr>
        <w:footnoteRef/>
      </w:r>
      <w:r>
        <w:tab/>
      </w:r>
      <w:r w:rsidR="00941A97">
        <w:t>ibidem</w:t>
      </w:r>
      <w:r w:rsidR="00912B8F">
        <w:t>.</w:t>
      </w:r>
    </w:p>
  </w:footnote>
  <w:footnote w:id="70">
    <w:p w14:paraId="4E8DC644" w14:textId="5607C202" w:rsidR="001F01EF" w:rsidRPr="007F082C" w:rsidRDefault="001F01EF" w:rsidP="005E41EB">
      <w:pPr>
        <w:pStyle w:val="FootnoteText"/>
        <w:rPr>
          <w:lang w:val="nl-BE"/>
        </w:rPr>
      </w:pPr>
      <w:r w:rsidRPr="009017E8">
        <w:rPr>
          <w:rStyle w:val="FootnoteReference"/>
        </w:rPr>
        <w:footnoteRef/>
      </w:r>
      <w:r w:rsidRPr="009017E8">
        <w:tab/>
      </w:r>
      <w:r w:rsidR="005E41EB" w:rsidRPr="009017E8">
        <w:t>Czech Government (2026c)</w:t>
      </w:r>
      <w:r w:rsidR="005E41EB" w:rsidRPr="009017E8">
        <w:rPr>
          <w:lang w:val="nl-BE"/>
        </w:rPr>
        <w:t>.</w:t>
      </w:r>
    </w:p>
  </w:footnote>
  <w:footnote w:id="71">
    <w:p w14:paraId="15179475" w14:textId="15DA88C7" w:rsidR="000F51FC" w:rsidRPr="0064216C" w:rsidRDefault="000F51FC" w:rsidP="0072797F">
      <w:pPr>
        <w:pStyle w:val="FootnoteText"/>
      </w:pPr>
      <w:r w:rsidRPr="0064216C">
        <w:rPr>
          <w:rStyle w:val="FootnoteReference"/>
          <w:lang w:val="en-IE"/>
        </w:rPr>
        <w:footnoteRef/>
      </w:r>
      <w:r w:rsidRPr="0064216C">
        <w:t xml:space="preserve"> </w:t>
      </w:r>
      <w:r w:rsidRPr="0064216C">
        <w:tab/>
        <w:t xml:space="preserve">The debate was conducted widely, primarily through the media. See for example Seznam Zpravy (2026) and CT (2026). See also </w:t>
      </w:r>
      <w:r w:rsidR="00531EC5" w:rsidRPr="0064216C">
        <w:t>G</w:t>
      </w:r>
      <w:r w:rsidR="00531EC5">
        <w:t>lopolis</w:t>
      </w:r>
      <w:r w:rsidR="00531EC5" w:rsidRPr="0064216C">
        <w:t xml:space="preserve"> </w:t>
      </w:r>
      <w:r w:rsidRPr="0064216C">
        <w:t>(2026), written input, p. 17.</w:t>
      </w:r>
    </w:p>
  </w:footnote>
  <w:footnote w:id="72">
    <w:p w14:paraId="44A705D3" w14:textId="66374DD5" w:rsidR="000F51FC" w:rsidRPr="00E11FB4" w:rsidRDefault="000F51FC" w:rsidP="0072797F">
      <w:pPr>
        <w:pStyle w:val="FootnoteText"/>
      </w:pPr>
      <w:r w:rsidRPr="00FF02AE">
        <w:rPr>
          <w:rStyle w:val="FootnoteReference"/>
          <w:lang w:val="en-IE"/>
        </w:rPr>
        <w:footnoteRef/>
      </w:r>
      <w:r w:rsidRPr="00FF02AE">
        <w:rPr>
          <w:rStyle w:val="FootnoteReference"/>
          <w:lang w:val="en-IE"/>
        </w:rPr>
        <w:t xml:space="preserve"> </w:t>
      </w:r>
      <w:r w:rsidRPr="00FF02AE">
        <w:t xml:space="preserve"> </w:t>
      </w:r>
      <w:r w:rsidRPr="00FF02AE">
        <w:tab/>
      </w:r>
      <w:r w:rsidRPr="00E11FB4">
        <w:rPr>
          <w:rFonts w:eastAsia="Calibri" w:cs="Arial"/>
          <w:lang w:val="en-US" w:eastAsia="en-US"/>
        </w:rPr>
        <w:t>Czech Government (2026</w:t>
      </w:r>
      <w:r w:rsidR="000C467D">
        <w:rPr>
          <w:rFonts w:eastAsia="Calibri" w:cs="Arial"/>
          <w:lang w:val="en-US" w:eastAsia="en-US"/>
        </w:rPr>
        <w:t>a</w:t>
      </w:r>
      <w:r w:rsidRPr="00E11FB4">
        <w:rPr>
          <w:rFonts w:eastAsia="Calibri" w:cs="Arial"/>
          <w:lang w:val="en-US" w:eastAsia="en-US"/>
        </w:rPr>
        <w:t>).</w:t>
      </w:r>
    </w:p>
  </w:footnote>
  <w:footnote w:id="73">
    <w:p w14:paraId="569747C4" w14:textId="24084FB8" w:rsidR="000F51FC" w:rsidRPr="0064216C" w:rsidRDefault="000F51FC" w:rsidP="0072797F">
      <w:pPr>
        <w:pStyle w:val="FootnoteText"/>
        <w:rPr>
          <w:highlight w:val="yellow"/>
        </w:rPr>
      </w:pPr>
      <w:r w:rsidRPr="0064216C">
        <w:rPr>
          <w:rStyle w:val="FootnoteReference"/>
          <w:lang w:val="en-IE"/>
        </w:rPr>
        <w:footnoteRef/>
      </w:r>
      <w:r w:rsidRPr="0064216C">
        <w:tab/>
      </w:r>
      <w:r>
        <w:t>As</w:t>
      </w:r>
      <w:r w:rsidRPr="0064216C">
        <w:t xml:space="preserve"> the code is not created through binding legislation nor inst</w:t>
      </w:r>
      <w:r>
        <w:t>it</w:t>
      </w:r>
      <w:r w:rsidRPr="0064216C">
        <w:t xml:space="preserve">utionally anchored, </w:t>
      </w:r>
      <w:r>
        <w:t>it has been</w:t>
      </w:r>
      <w:r w:rsidRPr="0064216C">
        <w:t xml:space="preserve"> considered by civil society to be a political initiative. Country visit Czechia, Transparency International/Lobbio. See also the statement of Transparency International in the media</w:t>
      </w:r>
      <w:r w:rsidR="00617A09">
        <w:t>,</w:t>
      </w:r>
      <w:r w:rsidRPr="0064216C">
        <w:t xml:space="preserve"> Forum24 (2026).</w:t>
      </w:r>
    </w:p>
  </w:footnote>
  <w:footnote w:id="74">
    <w:p w14:paraId="04A91B6C" w14:textId="34F91DD5" w:rsidR="000F51FC" w:rsidRPr="0064216C" w:rsidRDefault="000F51FC" w:rsidP="0072797F">
      <w:pPr>
        <w:pStyle w:val="FootnoteText"/>
        <w:rPr>
          <w:highlight w:val="yellow"/>
        </w:rPr>
      </w:pPr>
      <w:r w:rsidRPr="0064216C">
        <w:rPr>
          <w:rStyle w:val="FootnoteReference"/>
          <w:lang w:val="en-IE"/>
        </w:rPr>
        <w:footnoteRef/>
      </w:r>
      <w:r w:rsidRPr="0064216C">
        <w:tab/>
        <w:t xml:space="preserve">Country visit Czechia, Ministry of Interior and </w:t>
      </w:r>
      <w:r w:rsidR="007F3F29" w:rsidRPr="0064216C">
        <w:t xml:space="preserve">National Agency against Organised Crime </w:t>
      </w:r>
      <w:r w:rsidR="007F3F29">
        <w:t>(</w:t>
      </w:r>
      <w:r w:rsidRPr="0064216C">
        <w:t>NCOZ</w:t>
      </w:r>
      <w:r w:rsidR="007F3F29">
        <w:t>)</w:t>
      </w:r>
      <w:r w:rsidRPr="0064216C">
        <w:t>. See also GRECO (202</w:t>
      </w:r>
      <w:r>
        <w:t>6</w:t>
      </w:r>
      <w:r w:rsidRPr="0064216C">
        <w:t>a), recommendation xvii</w:t>
      </w:r>
      <w:r w:rsidR="00A06082">
        <w:t>.</w:t>
      </w:r>
    </w:p>
  </w:footnote>
  <w:footnote w:id="75">
    <w:p w14:paraId="668DC351" w14:textId="38D113B1" w:rsidR="000F51FC" w:rsidRPr="0064216C" w:rsidRDefault="000F51FC" w:rsidP="00E11FB4">
      <w:pPr>
        <w:pStyle w:val="FootnoteText"/>
      </w:pPr>
      <w:r w:rsidRPr="0064216C">
        <w:rPr>
          <w:rStyle w:val="FootnoteReference"/>
          <w:lang w:val="en-IE"/>
        </w:rPr>
        <w:footnoteRef/>
      </w:r>
      <w:r w:rsidRPr="0064216C">
        <w:rPr>
          <w:rStyle w:val="FootnoteReference"/>
          <w:lang w:val="en-IE"/>
        </w:rPr>
        <w:t xml:space="preserve"> </w:t>
      </w:r>
      <w:r w:rsidRPr="0064216C">
        <w:t xml:space="preserve">  </w:t>
      </w:r>
      <w:r>
        <w:tab/>
      </w:r>
      <w:r w:rsidRPr="0064216C">
        <w:t xml:space="preserve">See </w:t>
      </w:r>
      <w:r w:rsidR="00FB6F08">
        <w:t>Pillars</w:t>
      </w:r>
      <w:r w:rsidR="00FB6F08" w:rsidRPr="0064216C">
        <w:t xml:space="preserve"> </w:t>
      </w:r>
      <w:r w:rsidRPr="0064216C">
        <w:t>on the Other institutional issues related to checks and balance</w:t>
      </w:r>
      <w:r w:rsidR="009A21AC">
        <w:t>s</w:t>
      </w:r>
      <w:r w:rsidRPr="0064216C">
        <w:t xml:space="preserve">. Transparency International Czechia (2026a) </w:t>
      </w:r>
      <w:r w:rsidRPr="00FF02AE">
        <w:t xml:space="preserve">and </w:t>
      </w:r>
      <w:r w:rsidRPr="00E11FB4">
        <w:rPr>
          <w:rFonts w:eastAsia="Calibri" w:cs="Arial"/>
          <w:lang w:val="en-US" w:eastAsia="en-US"/>
        </w:rPr>
        <w:t>Trade Union of Authorities and Organizations (2026), written input</w:t>
      </w:r>
      <w:r w:rsidR="00FF02AE">
        <w:rPr>
          <w:rFonts w:eastAsia="Calibri" w:cs="Arial"/>
          <w:lang w:val="en-US" w:eastAsia="en-US"/>
        </w:rPr>
        <w:t>.</w:t>
      </w:r>
      <w:r w:rsidRPr="0064216C">
        <w:rPr>
          <w:color w:val="000000"/>
        </w:rPr>
        <w:t xml:space="preserve"> </w:t>
      </w:r>
    </w:p>
  </w:footnote>
  <w:footnote w:id="76">
    <w:p w14:paraId="678AE665" w14:textId="77777777" w:rsidR="000F51FC" w:rsidRPr="0064216C" w:rsidRDefault="000F51FC" w:rsidP="0072797F">
      <w:pPr>
        <w:pStyle w:val="FootnoteText"/>
      </w:pPr>
      <w:r w:rsidRPr="0064216C">
        <w:rPr>
          <w:rStyle w:val="FootnoteReference"/>
          <w:lang w:val="en-IE"/>
        </w:rPr>
        <w:footnoteRef/>
      </w:r>
      <w:r w:rsidRPr="0064216C">
        <w:tab/>
        <w:t>2025 Rule of Law Report, Czechia, p. 9.</w:t>
      </w:r>
    </w:p>
  </w:footnote>
  <w:footnote w:id="77">
    <w:p w14:paraId="56B5A714" w14:textId="77777777" w:rsidR="000F51FC" w:rsidRPr="0064216C" w:rsidRDefault="000F51FC" w:rsidP="0072797F">
      <w:pPr>
        <w:pStyle w:val="FootnoteText"/>
      </w:pPr>
      <w:r w:rsidRPr="0064216C">
        <w:rPr>
          <w:rStyle w:val="FootnoteReference"/>
          <w:lang w:val="en-IE"/>
        </w:rPr>
        <w:footnoteRef/>
      </w:r>
      <w:r w:rsidRPr="0064216C">
        <w:t xml:space="preserve"> </w:t>
      </w:r>
      <w:r w:rsidRPr="0064216C">
        <w:tab/>
        <w:t xml:space="preserve">Including for </w:t>
      </w:r>
      <w:r>
        <w:t>m</w:t>
      </w:r>
      <w:r w:rsidRPr="0064216C">
        <w:t>embers of Parliament – see below. 2023 Rule of Law Report, Czechia, p. 14.</w:t>
      </w:r>
    </w:p>
  </w:footnote>
  <w:footnote w:id="78">
    <w:p w14:paraId="11D783CF" w14:textId="77777777" w:rsidR="000F51FC" w:rsidRPr="00AE4119" w:rsidRDefault="000F51FC" w:rsidP="0072797F">
      <w:pPr>
        <w:pStyle w:val="FootnoteText"/>
      </w:pPr>
      <w:r>
        <w:rPr>
          <w:rStyle w:val="FootnoteReference"/>
        </w:rPr>
        <w:footnoteRef/>
      </w:r>
      <w:r>
        <w:t xml:space="preserve"> </w:t>
      </w:r>
      <w:r>
        <w:tab/>
      </w:r>
      <w:r w:rsidRPr="0064216C">
        <w:t>2025 Rule of Law Report, Czechia, p. 9.</w:t>
      </w:r>
    </w:p>
  </w:footnote>
  <w:footnote w:id="79">
    <w:p w14:paraId="13E85200" w14:textId="77777777" w:rsidR="000F51FC" w:rsidRPr="00857A65" w:rsidRDefault="000F51FC" w:rsidP="0072797F">
      <w:pPr>
        <w:pStyle w:val="FootnoteText"/>
      </w:pPr>
      <w:r>
        <w:rPr>
          <w:rStyle w:val="FootnoteReference"/>
        </w:rPr>
        <w:footnoteRef/>
      </w:r>
      <w:r>
        <w:t xml:space="preserve"> </w:t>
      </w:r>
      <w:r>
        <w:tab/>
      </w:r>
      <w:r w:rsidRPr="00AE4119">
        <w:t>Country visit Czechia, Ministry o</w:t>
      </w:r>
      <w:r>
        <w:t>f Justice.</w:t>
      </w:r>
    </w:p>
  </w:footnote>
  <w:footnote w:id="80">
    <w:p w14:paraId="529E8D82" w14:textId="77777777" w:rsidR="000F51FC" w:rsidRPr="0064216C" w:rsidRDefault="000F51FC" w:rsidP="0072797F">
      <w:pPr>
        <w:pStyle w:val="FootnoteText"/>
      </w:pPr>
      <w:r w:rsidRPr="0064216C">
        <w:rPr>
          <w:rStyle w:val="FootnoteReference"/>
          <w:lang w:val="en-IE"/>
        </w:rPr>
        <w:footnoteRef/>
      </w:r>
      <w:r w:rsidRPr="0064216C">
        <w:t xml:space="preserve"> </w:t>
      </w:r>
      <w:r w:rsidRPr="0064216C">
        <w:tab/>
        <w:t>85 cases concerned failure to declare at the beginning of term, 620 involved annual declarations and 73 cases concerned the end of term declarations. Czech Government (2026), written input, p. 13.</w:t>
      </w:r>
    </w:p>
  </w:footnote>
  <w:footnote w:id="81">
    <w:p w14:paraId="27A7A751" w14:textId="47ED377B" w:rsidR="000F51FC" w:rsidRPr="0064216C" w:rsidRDefault="000F51FC" w:rsidP="0072797F">
      <w:pPr>
        <w:pStyle w:val="FootnoteText"/>
      </w:pPr>
      <w:r w:rsidRPr="0064216C">
        <w:rPr>
          <w:rStyle w:val="FootnoteReference"/>
          <w:lang w:val="en-IE"/>
        </w:rPr>
        <w:footnoteRef/>
      </w:r>
      <w:r w:rsidRPr="0064216C">
        <w:t xml:space="preserve"> </w:t>
      </w:r>
      <w:r w:rsidRPr="0064216C">
        <w:tab/>
      </w:r>
      <w:r w:rsidR="00A87BF9">
        <w:t>ibidem.</w:t>
      </w:r>
    </w:p>
  </w:footnote>
  <w:footnote w:id="82">
    <w:p w14:paraId="65CAA843" w14:textId="77777777" w:rsidR="000F51FC" w:rsidRPr="0064216C" w:rsidRDefault="000F51FC" w:rsidP="0072797F">
      <w:pPr>
        <w:pStyle w:val="FootnoteText"/>
      </w:pPr>
      <w:r w:rsidRPr="0064216C">
        <w:rPr>
          <w:rStyle w:val="FootnoteReference"/>
          <w:lang w:val="en-IE"/>
        </w:rPr>
        <w:footnoteRef/>
      </w:r>
      <w:r w:rsidRPr="0064216C">
        <w:t xml:space="preserve"> </w:t>
      </w:r>
      <w:r w:rsidRPr="0064216C">
        <w:tab/>
        <w:t xml:space="preserve">Country visit Czechia, Transparency International/Lobbio. As control is </w:t>
      </w:r>
      <w:r w:rsidRPr="0064216C">
        <w:rPr>
          <w:color w:val="000000"/>
        </w:rPr>
        <w:t>generally carried out at the local level by small municipal offices where the relevant official has his main residence. See also 2025 Rule of Law Report, Czechia, p. 9.</w:t>
      </w:r>
    </w:p>
  </w:footnote>
  <w:footnote w:id="83">
    <w:p w14:paraId="2AA60A60" w14:textId="6A12E8D9" w:rsidR="000F51FC" w:rsidRPr="0064216C" w:rsidRDefault="000F51FC" w:rsidP="00590B30">
      <w:pPr>
        <w:pStyle w:val="FootnoteText"/>
        <w:rPr>
          <w:lang w:val="en-IE"/>
        </w:rPr>
      </w:pPr>
      <w:r w:rsidRPr="0064216C">
        <w:rPr>
          <w:rStyle w:val="FootnoteReference"/>
          <w:lang w:val="en-IE"/>
        </w:rPr>
        <w:footnoteRef/>
      </w:r>
      <w:r w:rsidRPr="0064216C">
        <w:rPr>
          <w:lang w:val="en-IE"/>
        </w:rPr>
        <w:tab/>
        <w:t>Czech Government (2026), written input, p. 11.</w:t>
      </w:r>
    </w:p>
  </w:footnote>
  <w:footnote w:id="84">
    <w:p w14:paraId="3EE8DE44" w14:textId="2E7A0869"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Czech Government (2026), written input, p. 11 and Country visit Czechia, Ministry of Justice</w:t>
      </w:r>
      <w:r>
        <w:rPr>
          <w:lang w:val="en-IE"/>
        </w:rPr>
        <w:t>.</w:t>
      </w:r>
    </w:p>
  </w:footnote>
  <w:footnote w:id="85">
    <w:p w14:paraId="06A3A4EF"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Czech Government (2026), written input, p. 10 and Country visit Czechia, Transparency International/Lobbio and Ministry of Justice</w:t>
      </w:r>
      <w:r>
        <w:rPr>
          <w:lang w:val="en-IE"/>
        </w:rPr>
        <w:t>.</w:t>
      </w:r>
      <w:r w:rsidRPr="0064216C">
        <w:rPr>
          <w:lang w:val="en-IE"/>
        </w:rPr>
        <w:t xml:space="preserve"> </w:t>
      </w:r>
    </w:p>
  </w:footnote>
  <w:footnote w:id="86">
    <w:p w14:paraId="4EFB0A36" w14:textId="3D0688FE" w:rsidR="000F51FC" w:rsidRPr="0064216C" w:rsidRDefault="000F51FC" w:rsidP="00590B30">
      <w:pPr>
        <w:pStyle w:val="FootnoteText"/>
        <w:rPr>
          <w:lang w:val="en-IE"/>
        </w:rPr>
      </w:pPr>
      <w:r w:rsidRPr="0064216C">
        <w:rPr>
          <w:rStyle w:val="FootnoteReference"/>
          <w:lang w:val="en-IE"/>
        </w:rPr>
        <w:footnoteRef/>
      </w:r>
      <w:r w:rsidRPr="0064216C">
        <w:rPr>
          <w:lang w:val="en-IE"/>
        </w:rPr>
        <w:tab/>
      </w:r>
      <w:r w:rsidRPr="00A60196">
        <w:t xml:space="preserve">Country visit Czechia, </w:t>
      </w:r>
      <w:r w:rsidR="00A933B4">
        <w:t>Glopolis</w:t>
      </w:r>
      <w:r>
        <w:t>/</w:t>
      </w:r>
      <w:r w:rsidRPr="00A60196">
        <w:t xml:space="preserve">Transparency International/Lobbio and Business associations </w:t>
      </w:r>
      <w:r>
        <w:t xml:space="preserve">and </w:t>
      </w:r>
      <w:r w:rsidR="002B163D">
        <w:t xml:space="preserve">Glopolis </w:t>
      </w:r>
      <w:r>
        <w:t xml:space="preserve">(2026), pp. 17-18. Conversely, </w:t>
      </w:r>
      <w:r w:rsidRPr="00680DF6">
        <w:t>a number of professional associations</w:t>
      </w:r>
      <w:r>
        <w:t xml:space="preserve">, </w:t>
      </w:r>
      <w:r w:rsidRPr="00680DF6">
        <w:t>including the Bar Association</w:t>
      </w:r>
      <w:r>
        <w:t>,</w:t>
      </w:r>
      <w:r w:rsidRPr="00680DF6">
        <w:t xml:space="preserve"> have requested an amendment to the law to exempt them from registering as a lobbyist, due to </w:t>
      </w:r>
      <w:r>
        <w:t xml:space="preserve">perceived </w:t>
      </w:r>
      <w:r w:rsidRPr="00680DF6">
        <w:t>administrative burden concerns</w:t>
      </w:r>
      <w:r>
        <w:t xml:space="preserve">. Czech Bar Association (2026), </w:t>
      </w:r>
      <w:r w:rsidRPr="002A5DFE">
        <w:t>written input, p. 21</w:t>
      </w:r>
      <w:r>
        <w:t>.</w:t>
      </w:r>
    </w:p>
  </w:footnote>
  <w:footnote w:id="87">
    <w:p w14:paraId="0FC3ABF6" w14:textId="5FFFF1CF"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r>
      <w:r w:rsidRPr="0064216C">
        <w:rPr>
          <w:color w:val="000000"/>
          <w:lang w:val="en-IE"/>
        </w:rPr>
        <w:t>The 2025 Rule of Law report recommended</w:t>
      </w:r>
      <w:r w:rsidR="00A177F9">
        <w:rPr>
          <w:color w:val="000000"/>
          <w:lang w:val="en-IE"/>
        </w:rPr>
        <w:t xml:space="preserve"> to</w:t>
      </w:r>
      <w:r w:rsidRPr="0064216C">
        <w:rPr>
          <w:color w:val="000000"/>
          <w:lang w:val="en-IE"/>
        </w:rPr>
        <w:t xml:space="preserve"> Czechia </w:t>
      </w:r>
      <w:r w:rsidR="00931E5D">
        <w:rPr>
          <w:color w:val="000000"/>
          <w:lang w:val="en-IE"/>
        </w:rPr>
        <w:t xml:space="preserve">to </w:t>
      </w:r>
      <w:r w:rsidRPr="0064216C">
        <w:rPr>
          <w:color w:val="000000"/>
          <w:lang w:val="en-IE"/>
        </w:rPr>
        <w:t>“Take further measures to strengthen the integrity framework for all members of Parliament, in particular by complementing the existing rules as regards revolving doors.”</w:t>
      </w:r>
      <w:r w:rsidR="00931E5D">
        <w:rPr>
          <w:color w:val="000000"/>
          <w:lang w:val="en-IE"/>
        </w:rPr>
        <w:t>.</w:t>
      </w:r>
      <w:r w:rsidRPr="0064216C">
        <w:rPr>
          <w:color w:val="000000"/>
          <w:lang w:val="en-IE"/>
        </w:rPr>
        <w:t xml:space="preserve"> No progress was previously assessed on this recommendation in 2025 and some progress in 2024.</w:t>
      </w:r>
    </w:p>
  </w:footnote>
  <w:footnote w:id="88">
    <w:p w14:paraId="60A8B6E2" w14:textId="77777777" w:rsidR="000F51FC" w:rsidRPr="0064216C" w:rsidRDefault="000F51FC" w:rsidP="00590B30">
      <w:pPr>
        <w:pStyle w:val="FootnoteText"/>
        <w:rPr>
          <w:color w:val="000000"/>
          <w:lang w:val="en-IE"/>
        </w:rPr>
      </w:pPr>
      <w:r w:rsidRPr="0064216C">
        <w:rPr>
          <w:rStyle w:val="FootnoteReference"/>
          <w:lang w:val="en-IE"/>
        </w:rPr>
        <w:footnoteRef/>
      </w:r>
      <w:r w:rsidRPr="0064216C">
        <w:rPr>
          <w:lang w:val="en-IE"/>
        </w:rPr>
        <w:t xml:space="preserve"> </w:t>
      </w:r>
      <w:r w:rsidRPr="0064216C">
        <w:rPr>
          <w:lang w:val="en-IE"/>
        </w:rPr>
        <w:tab/>
        <w:t xml:space="preserve">Czech Government (2026), written input, p. 3. See also 2025 Rule of Law report, Czechia, p. 10. </w:t>
      </w:r>
      <w:r w:rsidRPr="0064216C">
        <w:rPr>
          <w:color w:val="000000"/>
          <w:lang w:val="en-IE"/>
        </w:rPr>
        <w:t xml:space="preserve">The recommendations from GRECO to adopt a Code of Ethics in both chambers of Parliament likewise remain </w:t>
      </w:r>
      <w:r>
        <w:rPr>
          <w:color w:val="000000"/>
          <w:lang w:val="en-IE"/>
        </w:rPr>
        <w:t>only partially fulfilled</w:t>
      </w:r>
      <w:r w:rsidRPr="0064216C">
        <w:rPr>
          <w:color w:val="000000"/>
          <w:lang w:val="en-IE"/>
        </w:rPr>
        <w:t>. GRECO (2023), recommendation ii, paras. 14-18 and GRECO (202</w:t>
      </w:r>
      <w:r>
        <w:rPr>
          <w:color w:val="000000"/>
          <w:lang w:val="en-IE"/>
        </w:rPr>
        <w:t>6</w:t>
      </w:r>
      <w:r w:rsidRPr="0064216C">
        <w:rPr>
          <w:color w:val="000000"/>
          <w:lang w:val="en-IE"/>
        </w:rPr>
        <w:t xml:space="preserve">b), recommendation ii, </w:t>
      </w:r>
      <w:r w:rsidRPr="00AE4119">
        <w:rPr>
          <w:color w:val="000000"/>
          <w:lang w:val="en-IE"/>
        </w:rPr>
        <w:t xml:space="preserve">paras </w:t>
      </w:r>
      <w:r w:rsidRPr="00520883">
        <w:rPr>
          <w:color w:val="000000"/>
          <w:lang w:val="en-IE"/>
        </w:rPr>
        <w:t>18-26</w:t>
      </w:r>
      <w:r>
        <w:rPr>
          <w:color w:val="000000"/>
          <w:lang w:val="en-IE"/>
        </w:rPr>
        <w:t xml:space="preserve"> and GRECO (2026c), recommendation ii, paras 17-21.</w:t>
      </w:r>
    </w:p>
  </w:footnote>
  <w:footnote w:id="89">
    <w:p w14:paraId="437CF6FC"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r>
      <w:r w:rsidRPr="0064216C">
        <w:rPr>
          <w:color w:val="000000"/>
          <w:lang w:val="en-IE"/>
        </w:rPr>
        <w:t>Country</w:t>
      </w:r>
      <w:r w:rsidRPr="0064216C">
        <w:rPr>
          <w:lang w:val="en-IE"/>
        </w:rPr>
        <w:t xml:space="preserve"> visit Czechia, Ministry of Justice and 2024 Rule of Law Report, Czechia, p. 15.</w:t>
      </w:r>
    </w:p>
  </w:footnote>
  <w:footnote w:id="90">
    <w:p w14:paraId="2C1BF731"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ab/>
        <w:t>Czech Government (2026), written input, pp. 11-12. See also 2025 Rule of Law report, Czechia, p. 10.</w:t>
      </w:r>
    </w:p>
  </w:footnote>
  <w:footnote w:id="91">
    <w:p w14:paraId="47E6DDE1"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ab/>
        <w:t>Czech Government (2026), written input, pp. 11-12.</w:t>
      </w:r>
    </w:p>
  </w:footnote>
  <w:footnote w:id="92">
    <w:p w14:paraId="7EDADAB9"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The law was broadly welcomed by stakeholders and was included in the Anti-Corruption Plan. See also 2025 Rule of Law report, Czechia, p. 10.</w:t>
      </w:r>
    </w:p>
  </w:footnote>
  <w:footnote w:id="93">
    <w:p w14:paraId="2D05F12E"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ab/>
        <w:t>Czech Government (2026), written input, p. 4.</w:t>
      </w:r>
    </w:p>
  </w:footnote>
  <w:footnote w:id="94">
    <w:p w14:paraId="580242DB" w14:textId="2ABACC0D" w:rsidR="000F51FC" w:rsidRPr="00A139D4" w:rsidRDefault="000F51FC" w:rsidP="00590B30">
      <w:pPr>
        <w:pStyle w:val="FootnoteText"/>
        <w:rPr>
          <w:lang w:val="en-IE"/>
        </w:rPr>
      </w:pPr>
      <w:r w:rsidRPr="0064216C">
        <w:rPr>
          <w:rStyle w:val="FootnoteReference"/>
          <w:lang w:val="en-IE"/>
        </w:rPr>
        <w:footnoteRef/>
      </w:r>
      <w:r w:rsidRPr="0064216C">
        <w:rPr>
          <w:lang w:val="en-IE"/>
        </w:rPr>
        <w:tab/>
      </w:r>
      <w:r w:rsidRPr="00A139D4">
        <w:rPr>
          <w:lang w:val="en-IE"/>
        </w:rPr>
        <w:t>Supreme Audit Office (2026)</w:t>
      </w:r>
      <w:r w:rsidR="0058638F">
        <w:rPr>
          <w:lang w:val="en-IE"/>
        </w:rPr>
        <w:t>,</w:t>
      </w:r>
      <w:r w:rsidR="00E11FB4" w:rsidRPr="00EB1629">
        <w:rPr>
          <w:lang w:val="en-IE"/>
        </w:rPr>
        <w:t xml:space="preserve"> written input</w:t>
      </w:r>
      <w:r w:rsidRPr="00A139D4">
        <w:rPr>
          <w:lang w:val="en-IE"/>
        </w:rPr>
        <w:t>.</w:t>
      </w:r>
    </w:p>
  </w:footnote>
  <w:footnote w:id="95">
    <w:p w14:paraId="69CBC0E5" w14:textId="03DDF854" w:rsidR="000F51FC" w:rsidRPr="0064216C" w:rsidRDefault="000F51FC" w:rsidP="0072797F">
      <w:pPr>
        <w:pStyle w:val="FootnoteText"/>
      </w:pPr>
      <w:r w:rsidRPr="00A139D4">
        <w:rPr>
          <w:rStyle w:val="FootnoteReference"/>
          <w:lang w:val="en-IE"/>
        </w:rPr>
        <w:footnoteRef/>
      </w:r>
      <w:r w:rsidRPr="00A139D4">
        <w:t xml:space="preserve"> </w:t>
      </w:r>
      <w:r w:rsidRPr="00A139D4">
        <w:tab/>
        <w:t xml:space="preserve">Supervision of local governments, which was also included in previously proposed amendments, would not be included. </w:t>
      </w:r>
      <w:r w:rsidRPr="00EB1629">
        <w:rPr>
          <w:rFonts w:eastAsia="Calibri" w:cs="Arial"/>
          <w:lang w:val="en-US" w:eastAsia="en-US"/>
        </w:rPr>
        <w:t>Supreme Audit Office (2026)</w:t>
      </w:r>
      <w:r w:rsidR="0058638F">
        <w:rPr>
          <w:rFonts w:eastAsia="Calibri" w:cs="Arial"/>
          <w:lang w:val="en-US" w:eastAsia="en-US"/>
        </w:rPr>
        <w:t>,</w:t>
      </w:r>
      <w:r w:rsidR="00E11FB4" w:rsidRPr="00EB1629">
        <w:rPr>
          <w:rFonts w:eastAsia="Calibri" w:cs="Arial"/>
          <w:lang w:val="en-US" w:eastAsia="en-US"/>
        </w:rPr>
        <w:t xml:space="preserve"> written input</w:t>
      </w:r>
      <w:r w:rsidRPr="00EB1629">
        <w:rPr>
          <w:rFonts w:eastAsia="Calibri" w:cs="Arial"/>
          <w:lang w:val="en-US" w:eastAsia="en-US"/>
        </w:rPr>
        <w:t>.</w:t>
      </w:r>
    </w:p>
  </w:footnote>
  <w:footnote w:id="96">
    <w:p w14:paraId="48B3FC44" w14:textId="77777777" w:rsidR="000F51FC" w:rsidRPr="0064216C" w:rsidRDefault="000F51FC" w:rsidP="0072797F">
      <w:pPr>
        <w:pStyle w:val="FootnoteText"/>
      </w:pPr>
      <w:r w:rsidRPr="0064216C">
        <w:rPr>
          <w:rStyle w:val="FootnoteReference"/>
          <w:lang w:val="en-IE"/>
        </w:rPr>
        <w:footnoteRef/>
      </w:r>
      <w:r w:rsidRPr="0064216C">
        <w:t xml:space="preserve"> </w:t>
      </w:r>
      <w:r w:rsidRPr="0064216C">
        <w:tab/>
        <w:t>Czech Government (2026), written input, p. 13.</w:t>
      </w:r>
    </w:p>
  </w:footnote>
  <w:footnote w:id="97">
    <w:p w14:paraId="3BE185D5" w14:textId="77777777" w:rsidR="000F51FC" w:rsidRPr="0064216C" w:rsidRDefault="000F51FC" w:rsidP="0072797F">
      <w:pPr>
        <w:pStyle w:val="FootnoteText"/>
      </w:pPr>
      <w:r w:rsidRPr="0064216C">
        <w:rPr>
          <w:rStyle w:val="FootnoteReference"/>
          <w:lang w:val="en-IE"/>
        </w:rPr>
        <w:footnoteRef/>
      </w:r>
      <w:r w:rsidRPr="0064216C">
        <w:tab/>
      </w:r>
      <w:r>
        <w:t>For example:</w:t>
      </w:r>
      <w:r w:rsidRPr="0064216C">
        <w:t xml:space="preserve"> accepting bribes, bribery, manipulation in public procurement, public tenders, and public auction.</w:t>
      </w:r>
    </w:p>
  </w:footnote>
  <w:footnote w:id="98">
    <w:p w14:paraId="55D82102" w14:textId="761C6984" w:rsidR="000F51FC" w:rsidRPr="0064216C" w:rsidRDefault="000F51FC" w:rsidP="0072797F">
      <w:pPr>
        <w:pStyle w:val="FootnoteText"/>
      </w:pPr>
      <w:r w:rsidRPr="0064216C">
        <w:rPr>
          <w:rStyle w:val="FootnoteReference"/>
          <w:lang w:val="en-IE"/>
        </w:rPr>
        <w:footnoteRef/>
      </w:r>
      <w:r w:rsidRPr="0064216C">
        <w:tab/>
        <w:t xml:space="preserve">Ministry of Interior and </w:t>
      </w:r>
      <w:r w:rsidR="007F3F29" w:rsidRPr="0064216C">
        <w:t xml:space="preserve">National Agency against Organised Crime </w:t>
      </w:r>
      <w:r w:rsidR="007F3F29">
        <w:t>(</w:t>
      </w:r>
      <w:r w:rsidRPr="0064216C">
        <w:t>NCOZ</w:t>
      </w:r>
      <w:r w:rsidR="007F3F29">
        <w:t>)</w:t>
      </w:r>
      <w:r w:rsidRPr="0064216C">
        <w:t xml:space="preserve"> (2026).</w:t>
      </w:r>
    </w:p>
  </w:footnote>
  <w:footnote w:id="99">
    <w:p w14:paraId="5F772164" w14:textId="26C445E6" w:rsidR="000F51FC" w:rsidRPr="00B42602" w:rsidRDefault="000F51FC" w:rsidP="00EB1629">
      <w:pPr>
        <w:pStyle w:val="FootnoteText"/>
      </w:pPr>
      <w:r w:rsidRPr="00B42602">
        <w:rPr>
          <w:rStyle w:val="FootnoteReference"/>
          <w:lang w:val="en-IE"/>
        </w:rPr>
        <w:footnoteRef/>
      </w:r>
      <w:r w:rsidRPr="00B42602">
        <w:t xml:space="preserve"> </w:t>
      </w:r>
      <w:r>
        <w:t xml:space="preserve"> </w:t>
      </w:r>
      <w:r w:rsidR="003365BD">
        <w:t xml:space="preserve"> </w:t>
      </w:r>
      <w:r w:rsidR="00A12CF8">
        <w:tab/>
      </w:r>
      <w:r w:rsidRPr="00EF4615">
        <w:t>Transparency International Czechia (2026b).</w:t>
      </w:r>
      <w:r w:rsidRPr="00B42602">
        <w:tab/>
      </w:r>
      <w:r w:rsidRPr="00B42602">
        <w:rPr>
          <w:color w:val="000000"/>
        </w:rPr>
        <w:t xml:space="preserve"> </w:t>
      </w:r>
    </w:p>
  </w:footnote>
  <w:footnote w:id="100">
    <w:p w14:paraId="7848E718" w14:textId="7B94CEA9" w:rsidR="000F51FC" w:rsidRPr="0064216C" w:rsidRDefault="000F51FC" w:rsidP="0072797F">
      <w:pPr>
        <w:pStyle w:val="FootnoteText"/>
      </w:pPr>
      <w:r w:rsidRPr="0064216C">
        <w:rPr>
          <w:rStyle w:val="FootnoteReference"/>
          <w:lang w:val="en-IE"/>
        </w:rPr>
        <w:footnoteRef/>
      </w:r>
      <w:r w:rsidRPr="0064216C">
        <w:t xml:space="preserve"> </w:t>
      </w:r>
      <w:r w:rsidRPr="0064216C">
        <w:tab/>
      </w:r>
      <w:r w:rsidR="003365BD">
        <w:t>Glopolis</w:t>
      </w:r>
      <w:r w:rsidR="003365BD" w:rsidRPr="0064216C">
        <w:t xml:space="preserve"> </w:t>
      </w:r>
      <w:r w:rsidRPr="0064216C">
        <w:t>(2026), written input, pp. 11-12 and Oziveni (2026), written input, pp. 2-3.</w:t>
      </w:r>
    </w:p>
  </w:footnote>
  <w:footnote w:id="101">
    <w:p w14:paraId="1FD687E5" w14:textId="77777777" w:rsidR="000F51FC" w:rsidRPr="0064216C" w:rsidRDefault="000F51FC" w:rsidP="0072797F">
      <w:pPr>
        <w:pStyle w:val="FootnoteText"/>
        <w:rPr>
          <w:highlight w:val="yellow"/>
        </w:rPr>
      </w:pPr>
      <w:r w:rsidRPr="00AE4119">
        <w:rPr>
          <w:rStyle w:val="FootnoteReference"/>
          <w:lang w:val="en-IE"/>
        </w:rPr>
        <w:footnoteRef/>
      </w:r>
      <w:r w:rsidRPr="00AE4119">
        <w:t xml:space="preserve"> </w:t>
      </w:r>
      <w:r w:rsidRPr="00AE4119">
        <w:tab/>
        <w:t>Flash Eurobarometer 582 on Businesses’ attitudes towards corruption in the EU (2026). This is 2 percentage points below the EU average.</w:t>
      </w:r>
    </w:p>
  </w:footnote>
  <w:footnote w:id="102">
    <w:p w14:paraId="04281F8E" w14:textId="77777777" w:rsidR="000F51FC" w:rsidRPr="00AE4119" w:rsidRDefault="000F51FC" w:rsidP="0072797F">
      <w:pPr>
        <w:pStyle w:val="FootnoteText"/>
      </w:pPr>
      <w:r w:rsidRPr="00AE4119">
        <w:rPr>
          <w:rStyle w:val="FootnoteReference"/>
          <w:lang w:val="en-IE"/>
        </w:rPr>
        <w:footnoteRef/>
      </w:r>
      <w:r w:rsidRPr="00AE4119">
        <w:t xml:space="preserve"> </w:t>
      </w:r>
      <w:r w:rsidRPr="00AE4119">
        <w:tab/>
        <w:t>Figure 59, 2026 EU Justice Scoreboard.</w:t>
      </w:r>
    </w:p>
  </w:footnote>
  <w:footnote w:id="103">
    <w:p w14:paraId="124F4961" w14:textId="77777777" w:rsidR="000F51FC" w:rsidRPr="0064216C" w:rsidRDefault="000F51FC" w:rsidP="0072797F">
      <w:pPr>
        <w:pStyle w:val="FootnoteText"/>
      </w:pPr>
      <w:r w:rsidRPr="00AE4119">
        <w:rPr>
          <w:rStyle w:val="FootnoteReference"/>
          <w:lang w:val="en-IE"/>
        </w:rPr>
        <w:footnoteRef/>
      </w:r>
      <w:r w:rsidRPr="00AE4119">
        <w:t xml:space="preserve"> </w:t>
      </w:r>
      <w:r w:rsidRPr="00AE4119">
        <w:tab/>
        <w:t>2025 Single Market Scoreboard.</w:t>
      </w:r>
    </w:p>
  </w:footnote>
  <w:footnote w:id="104">
    <w:p w14:paraId="06BEC9F6" w14:textId="4AD2C183" w:rsidR="000F51FC" w:rsidRPr="0064216C" w:rsidRDefault="000F51FC" w:rsidP="0072797F">
      <w:pPr>
        <w:pStyle w:val="FootnoteText"/>
      </w:pPr>
      <w:r w:rsidRPr="0064216C">
        <w:rPr>
          <w:rStyle w:val="FootnoteReference"/>
          <w:lang w:val="en-IE"/>
        </w:rPr>
        <w:footnoteRef/>
      </w:r>
      <w:r w:rsidRPr="0064216C">
        <w:t xml:space="preserve"> </w:t>
      </w:r>
      <w:r w:rsidRPr="0064216C">
        <w:tab/>
        <w:t xml:space="preserve">Country visit Czechia, Ministry of Interior and </w:t>
      </w:r>
      <w:r w:rsidR="007F3F29" w:rsidRPr="0064216C">
        <w:t xml:space="preserve">National Agency against Organised Crime </w:t>
      </w:r>
      <w:r w:rsidR="007F3F29">
        <w:t>(</w:t>
      </w:r>
      <w:r w:rsidRPr="0064216C">
        <w:t>NCOZ</w:t>
      </w:r>
      <w:r w:rsidR="007F3F29">
        <w:t>)</w:t>
      </w:r>
      <w:r w:rsidRPr="0064216C">
        <w:t>. See also 2025 Rule of Law report, Czechia, pp. 11-12.</w:t>
      </w:r>
    </w:p>
  </w:footnote>
  <w:footnote w:id="105">
    <w:p w14:paraId="60568CED" w14:textId="0B6C9F04" w:rsidR="000F51FC" w:rsidRPr="0064216C" w:rsidRDefault="000F51FC" w:rsidP="0072797F">
      <w:pPr>
        <w:pStyle w:val="FootnoteText"/>
      </w:pPr>
      <w:r w:rsidRPr="0064216C">
        <w:rPr>
          <w:rStyle w:val="FootnoteReference"/>
          <w:lang w:val="en-IE"/>
        </w:rPr>
        <w:footnoteRef/>
      </w:r>
      <w:r w:rsidRPr="0064216C">
        <w:tab/>
        <w:t xml:space="preserve">Country visit Czechia, Ministry of Interior and </w:t>
      </w:r>
      <w:r w:rsidR="007F3F29" w:rsidRPr="0064216C">
        <w:t xml:space="preserve">National Agency against Organised Crime </w:t>
      </w:r>
      <w:r w:rsidR="007F3F29">
        <w:t>(</w:t>
      </w:r>
      <w:r w:rsidRPr="0064216C">
        <w:t>NCOZ</w:t>
      </w:r>
      <w:r w:rsidR="007F3F29">
        <w:t>)</w:t>
      </w:r>
      <w:r w:rsidRPr="0064216C">
        <w:t xml:space="preserve"> and </w:t>
      </w:r>
      <w:r w:rsidRPr="007D3DF6">
        <w:rPr>
          <w:rFonts w:eastAsia="Calibri" w:cs="Arial"/>
          <w:lang w:val="en-US" w:eastAsia="en-US"/>
        </w:rPr>
        <w:t>Office for the Protection of Competition (2026)</w:t>
      </w:r>
      <w:r w:rsidR="00D45A91" w:rsidRPr="007D3DF6">
        <w:rPr>
          <w:rFonts w:eastAsia="Calibri" w:cs="Arial"/>
          <w:lang w:val="en-US" w:eastAsia="en-US"/>
        </w:rPr>
        <w:t xml:space="preserve"> written input</w:t>
      </w:r>
      <w:r w:rsidR="001A03D2" w:rsidRPr="007D3DF6">
        <w:rPr>
          <w:rFonts w:eastAsia="Calibri" w:cs="Arial"/>
          <w:lang w:val="en-US" w:eastAsia="en-US"/>
        </w:rPr>
        <w:t xml:space="preserve">, p. </w:t>
      </w:r>
      <w:r w:rsidR="000E1AB0" w:rsidRPr="007D3DF6">
        <w:rPr>
          <w:rFonts w:eastAsia="Calibri" w:cs="Arial"/>
          <w:lang w:val="en-US" w:eastAsia="en-US"/>
        </w:rPr>
        <w:t>1</w:t>
      </w:r>
      <w:r w:rsidRPr="007D3DF6">
        <w:rPr>
          <w:rFonts w:eastAsia="Calibri" w:cs="Arial"/>
          <w:lang w:val="en-US" w:eastAsia="en-US"/>
        </w:rPr>
        <w:t>.</w:t>
      </w:r>
      <w:r w:rsidRPr="0064216C">
        <w:t xml:space="preserve"> </w:t>
      </w:r>
    </w:p>
  </w:footnote>
  <w:footnote w:id="106">
    <w:p w14:paraId="73694087" w14:textId="77777777" w:rsidR="000F51FC" w:rsidRPr="0064216C" w:rsidRDefault="000F51FC" w:rsidP="0072797F">
      <w:pPr>
        <w:pStyle w:val="FootnoteText"/>
      </w:pPr>
      <w:r w:rsidRPr="0064216C">
        <w:rPr>
          <w:rStyle w:val="FootnoteReference"/>
          <w:lang w:val="en-IE"/>
        </w:rPr>
        <w:footnoteRef/>
      </w:r>
      <w:r w:rsidRPr="0064216C">
        <w:tab/>
        <w:t>Oziveni (2026), written input, p. 1 and Office for the Protection of Competition (2026). See also 2025 Rule of Law report, Czechia, pp. 11-12.</w:t>
      </w:r>
    </w:p>
  </w:footnote>
  <w:footnote w:id="107">
    <w:p w14:paraId="27DD727B" w14:textId="77777777" w:rsidR="000F51FC" w:rsidRPr="0064216C" w:rsidRDefault="000F51FC" w:rsidP="0072797F">
      <w:pPr>
        <w:pStyle w:val="FootnoteText"/>
      </w:pPr>
      <w:r w:rsidRPr="0064216C">
        <w:rPr>
          <w:rStyle w:val="FootnoteReference"/>
          <w:lang w:val="en-IE"/>
        </w:rPr>
        <w:footnoteRef/>
      </w:r>
      <w:r w:rsidRPr="0064216C">
        <w:t xml:space="preserve"> </w:t>
      </w:r>
      <w:r w:rsidRPr="0064216C">
        <w:tab/>
        <w:t xml:space="preserve">Transparency International Czechia (2026c) and Transparency International Czechia (2026d). </w:t>
      </w:r>
    </w:p>
  </w:footnote>
  <w:footnote w:id="108">
    <w:p w14:paraId="757DA0D6" w14:textId="764CF39B" w:rsidR="000F51FC" w:rsidRPr="0064216C" w:rsidRDefault="000F51FC" w:rsidP="00590B30">
      <w:pPr>
        <w:pStyle w:val="FootnoteText"/>
        <w:rPr>
          <w:lang w:val="en-IE"/>
        </w:rPr>
      </w:pPr>
      <w:r w:rsidRPr="0064216C">
        <w:rPr>
          <w:rStyle w:val="FootnoteReference"/>
          <w:lang w:val="en-IE"/>
        </w:rPr>
        <w:footnoteRef/>
      </w:r>
      <w:r w:rsidRPr="0064216C">
        <w:rPr>
          <w:lang w:val="en-IE"/>
        </w:rPr>
        <w:tab/>
      </w:r>
      <w:r>
        <w:rPr>
          <w:lang w:val="en-IE"/>
        </w:rPr>
        <w:t xml:space="preserve">Country visit Czechia, </w:t>
      </w:r>
      <w:r w:rsidR="004426A5">
        <w:rPr>
          <w:lang w:val="en-IE"/>
        </w:rPr>
        <w:t>Office of the Prosecutor General</w:t>
      </w:r>
      <w:r>
        <w:rPr>
          <w:lang w:val="en-IE"/>
        </w:rPr>
        <w:t xml:space="preserve">, Union of Prosecutors, </w:t>
      </w:r>
      <w:r w:rsidRPr="0064216C">
        <w:rPr>
          <w:lang w:val="en-IE"/>
        </w:rPr>
        <w:t>Office for the Protection of Competition (2026) and Transparency International Czechia (2026e).</w:t>
      </w:r>
    </w:p>
  </w:footnote>
  <w:footnote w:id="109">
    <w:p w14:paraId="6F902EDF"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Pr>
          <w:lang w:val="en-IE"/>
        </w:rPr>
        <w:tab/>
      </w:r>
      <w:r w:rsidRPr="0064216C">
        <w:rPr>
          <w:lang w:val="en-IE"/>
        </w:rPr>
        <w:t>Media Pluralism Monitor (2026), p</w:t>
      </w:r>
      <w:r>
        <w:rPr>
          <w:lang w:val="en-IE"/>
        </w:rPr>
        <w:t>p</w:t>
      </w:r>
      <w:r w:rsidRPr="0064216C">
        <w:rPr>
          <w:lang w:val="en-IE"/>
        </w:rPr>
        <w:t>.</w:t>
      </w:r>
      <w:r>
        <w:rPr>
          <w:lang w:val="en-IE"/>
        </w:rPr>
        <w:t xml:space="preserve"> 15-16.</w:t>
      </w:r>
      <w:r w:rsidRPr="0064216C">
        <w:rPr>
          <w:lang w:val="en-IE"/>
        </w:rPr>
        <w:t xml:space="preserve"> </w:t>
      </w:r>
    </w:p>
  </w:footnote>
  <w:footnote w:id="110">
    <w:p w14:paraId="0963080B" w14:textId="12F61845"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Pr>
          <w:lang w:val="en-IE"/>
        </w:rPr>
        <w:tab/>
      </w:r>
      <w:r w:rsidRPr="0064216C">
        <w:rPr>
          <w:lang w:val="en-IE"/>
        </w:rPr>
        <w:t>Country visit</w:t>
      </w:r>
      <w:r w:rsidR="00B23428">
        <w:rPr>
          <w:lang w:val="en-IE"/>
        </w:rPr>
        <w:t xml:space="preserve"> Czechia,</w:t>
      </w:r>
      <w:r w:rsidRPr="0064216C">
        <w:rPr>
          <w:lang w:val="en-IE"/>
        </w:rPr>
        <w:t xml:space="preserve"> Ministry for Culture and Council for Radio and Television Broadcasting</w:t>
      </w:r>
      <w:r w:rsidR="007F108A">
        <w:rPr>
          <w:lang w:val="en-IE"/>
        </w:rPr>
        <w:t>,</w:t>
      </w:r>
      <w:r w:rsidRPr="0064216C">
        <w:rPr>
          <w:lang w:val="en-IE"/>
        </w:rPr>
        <w:t xml:space="preserve"> </w:t>
      </w:r>
      <w:r w:rsidRPr="00B94966">
        <w:rPr>
          <w:lang w:val="en-IE"/>
        </w:rPr>
        <w:t>Council for Radio and Television Broadcasting (2026)</w:t>
      </w:r>
      <w:r w:rsidR="00E02CB9" w:rsidRPr="00B94966">
        <w:rPr>
          <w:lang w:val="en-IE"/>
        </w:rPr>
        <w:t xml:space="preserve">, written input, p. </w:t>
      </w:r>
      <w:r w:rsidR="00B94966" w:rsidRPr="00B66D9F">
        <w:rPr>
          <w:lang w:val="en-IE"/>
        </w:rPr>
        <w:t>1</w:t>
      </w:r>
      <w:r w:rsidRPr="00B94966">
        <w:rPr>
          <w:lang w:val="en-IE"/>
        </w:rPr>
        <w:t>. The</w:t>
      </w:r>
      <w:r w:rsidRPr="0064216C">
        <w:rPr>
          <w:lang w:val="en-IE"/>
        </w:rPr>
        <w:t xml:space="preserve"> Memorandum seeks to replicate provisions of the European Media Freedom Act which can be implemented via self-regulation.    </w:t>
      </w:r>
    </w:p>
  </w:footnote>
  <w:footnote w:id="111">
    <w:p w14:paraId="08B81B07" w14:textId="31B3AEB4" w:rsidR="00900718" w:rsidRPr="00C86D1E" w:rsidRDefault="00900718" w:rsidP="00900718">
      <w:pPr>
        <w:pStyle w:val="FootnoteText"/>
        <w:rPr>
          <w:lang w:val="en-IE"/>
        </w:rPr>
      </w:pPr>
      <w:r w:rsidRPr="00E737AE">
        <w:rPr>
          <w:rStyle w:val="FootnoteReference"/>
        </w:rPr>
        <w:footnoteRef/>
      </w:r>
      <w:r w:rsidRPr="00E737AE">
        <w:t xml:space="preserve">   European Centre for Press and Media Freedom</w:t>
      </w:r>
      <w:r w:rsidRPr="00B66D9F">
        <w:t xml:space="preserve"> (ECPMF)</w:t>
      </w:r>
      <w:r w:rsidRPr="00E737AE">
        <w:t xml:space="preserve"> (2026).</w:t>
      </w:r>
      <w:r>
        <w:t xml:space="preserve"> </w:t>
      </w:r>
    </w:p>
  </w:footnote>
  <w:footnote w:id="112">
    <w:p w14:paraId="02D020AB" w14:textId="77777777" w:rsidR="000F51FC" w:rsidRPr="00AE4119" w:rsidRDefault="000F51FC" w:rsidP="00590B30">
      <w:pPr>
        <w:pStyle w:val="FootnoteText"/>
        <w:rPr>
          <w:lang w:val="en-IE"/>
        </w:rPr>
      </w:pPr>
      <w:r w:rsidRPr="0064216C">
        <w:rPr>
          <w:rStyle w:val="FootnoteReference"/>
          <w:lang w:val="en-IE"/>
        </w:rPr>
        <w:footnoteRef/>
      </w:r>
      <w:r w:rsidRPr="0064216C">
        <w:rPr>
          <w:lang w:val="en-IE"/>
        </w:rPr>
        <w:tab/>
      </w:r>
      <w:r w:rsidRPr="00AE4119">
        <w:rPr>
          <w:lang w:val="en-IE"/>
        </w:rPr>
        <w:t xml:space="preserve">Media Pluralism Monitor (2026), p. </w:t>
      </w:r>
      <w:r w:rsidRPr="008508FA">
        <w:rPr>
          <w:lang w:val="en-IE"/>
        </w:rPr>
        <w:t>27</w:t>
      </w:r>
      <w:r w:rsidRPr="00AE4119">
        <w:rPr>
          <w:lang w:val="en-IE"/>
        </w:rPr>
        <w:t>.</w:t>
      </w:r>
    </w:p>
  </w:footnote>
  <w:footnote w:id="113">
    <w:p w14:paraId="55A6DAD9" w14:textId="77777777" w:rsidR="00566CCC" w:rsidRPr="0064216C" w:rsidRDefault="00566CCC" w:rsidP="00566CCC">
      <w:pPr>
        <w:pStyle w:val="FootnoteText"/>
        <w:rPr>
          <w:lang w:val="en-IE"/>
        </w:rPr>
      </w:pPr>
      <w:r w:rsidRPr="0064216C">
        <w:rPr>
          <w:rStyle w:val="FootnoteReference"/>
          <w:lang w:val="en-IE"/>
        </w:rPr>
        <w:footnoteRef/>
      </w:r>
      <w:r w:rsidRPr="0064216C">
        <w:rPr>
          <w:lang w:val="en-IE"/>
        </w:rPr>
        <w:tab/>
      </w:r>
      <w:r>
        <w:rPr>
          <w:lang w:val="en-IE"/>
        </w:rPr>
        <w:t>Country visit Czechia</w:t>
      </w:r>
      <w:r w:rsidRPr="00ED1B7E">
        <w:rPr>
          <w:lang w:val="en-IE"/>
        </w:rPr>
        <w:t xml:space="preserve">, </w:t>
      </w:r>
      <w:r w:rsidRPr="00424DBD">
        <w:rPr>
          <w:lang w:val="en-IE"/>
        </w:rPr>
        <w:t>Czech Association of Public Broadcasters</w:t>
      </w:r>
      <w:r w:rsidRPr="00ED1B7E">
        <w:rPr>
          <w:lang w:val="en-IE"/>
        </w:rPr>
        <w:t>.</w:t>
      </w:r>
    </w:p>
  </w:footnote>
  <w:footnote w:id="114">
    <w:p w14:paraId="673131D2" w14:textId="30142AB0"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 xml:space="preserve">The 2025 Rule of Law Report recommended </w:t>
      </w:r>
      <w:r w:rsidR="00FE33DF">
        <w:rPr>
          <w:lang w:val="en-IE"/>
        </w:rPr>
        <w:t xml:space="preserve">to </w:t>
      </w:r>
      <w:r w:rsidRPr="0064216C">
        <w:rPr>
          <w:lang w:val="en-IE"/>
        </w:rPr>
        <w:t>Czechia to “[p]rogress with further reforms relating to transparency of information on media ownership.”</w:t>
      </w:r>
      <w:r w:rsidR="00FE33DF">
        <w:rPr>
          <w:lang w:val="en-IE"/>
        </w:rPr>
        <w:t>.</w:t>
      </w:r>
      <w:r w:rsidRPr="0064216C">
        <w:rPr>
          <w:lang w:val="en-IE"/>
        </w:rPr>
        <w:t xml:space="preserve"> No progress was previously assessed on this recommendation in 2025, 2024, and some progress in 2023.</w:t>
      </w:r>
    </w:p>
  </w:footnote>
  <w:footnote w:id="115">
    <w:p w14:paraId="202D9D4E" w14:textId="78995BC1" w:rsidR="00AD1073" w:rsidRPr="007D3DF6" w:rsidRDefault="00AD1073">
      <w:pPr>
        <w:pStyle w:val="FootnoteText"/>
        <w:rPr>
          <w:lang w:val="cs-CZ"/>
        </w:rPr>
      </w:pPr>
      <w:r>
        <w:rPr>
          <w:rStyle w:val="FootnoteReference"/>
        </w:rPr>
        <w:footnoteRef/>
      </w:r>
      <w:r>
        <w:tab/>
      </w:r>
      <w:r w:rsidR="2CF1EABA" w:rsidRPr="007D3DF6">
        <w:rPr>
          <w:lang w:val="en-IE"/>
        </w:rPr>
        <w:t>Such as by civil society organizations and non-governmental non-profit legal entities engaged in the prevention of, or the fight against, money laundering and related criminal activities</w:t>
      </w:r>
      <w:r w:rsidR="2CF1EABA">
        <w:rPr>
          <w:lang w:val="en-IE"/>
        </w:rPr>
        <w:t xml:space="preserve">. Czech Government </w:t>
      </w:r>
      <w:r w:rsidR="2CF1EABA" w:rsidRPr="001333D4">
        <w:rPr>
          <w:lang w:val="en-IE"/>
        </w:rPr>
        <w:t>(2026d).</w:t>
      </w:r>
    </w:p>
  </w:footnote>
  <w:footnote w:id="116">
    <w:p w14:paraId="655136B8" w14:textId="77777777" w:rsidR="000F51FC" w:rsidRPr="0064216C" w:rsidRDefault="000F51FC" w:rsidP="0072797F">
      <w:pPr>
        <w:pStyle w:val="FootnoteText"/>
      </w:pPr>
      <w:r w:rsidRPr="0064216C">
        <w:rPr>
          <w:rStyle w:val="FootnoteReference"/>
          <w:lang w:val="en-IE"/>
        </w:rPr>
        <w:footnoteRef/>
      </w:r>
      <w:r w:rsidRPr="0064216C">
        <w:t xml:space="preserve"> </w:t>
      </w:r>
      <w:r w:rsidRPr="0064216C">
        <w:tab/>
        <w:t xml:space="preserve">Country visit </w:t>
      </w:r>
      <w:r>
        <w:t xml:space="preserve">Czechia, </w:t>
      </w:r>
      <w:r w:rsidRPr="0064216C">
        <w:t xml:space="preserve">Council for Radio and Television Broadcasting, Czech Syndicate of Journalists, Lobbio and ECPMF. </w:t>
      </w:r>
    </w:p>
  </w:footnote>
  <w:footnote w:id="117">
    <w:p w14:paraId="77AD21E8" w14:textId="77777777" w:rsidR="000F51FC" w:rsidRPr="000C1B01" w:rsidRDefault="000F51FC" w:rsidP="0072797F">
      <w:pPr>
        <w:pStyle w:val="FootnoteText"/>
      </w:pPr>
      <w:r w:rsidRPr="0064216C">
        <w:rPr>
          <w:rStyle w:val="FootnoteReference"/>
          <w:lang w:val="en-IE"/>
        </w:rPr>
        <w:footnoteRef/>
      </w:r>
      <w:r w:rsidRPr="00AE4119">
        <w:t xml:space="preserve"> </w:t>
      </w:r>
      <w:r w:rsidRPr="00AE4119">
        <w:tab/>
        <w:t xml:space="preserve">Media Pluralism Monitor (2026), p. </w:t>
      </w:r>
      <w:r w:rsidRPr="000C1B01">
        <w:t>18.</w:t>
      </w:r>
    </w:p>
  </w:footnote>
  <w:footnote w:id="118">
    <w:p w14:paraId="47FAC528" w14:textId="18F28523" w:rsidR="000F51FC" w:rsidRPr="0064216C" w:rsidRDefault="000F51FC" w:rsidP="0072797F">
      <w:pPr>
        <w:pStyle w:val="FootnoteText"/>
      </w:pPr>
      <w:r w:rsidRPr="000C1B01">
        <w:rPr>
          <w:rStyle w:val="FootnoteReference"/>
          <w:lang w:val="en-IE"/>
        </w:rPr>
        <w:footnoteRef/>
      </w:r>
      <w:r w:rsidRPr="000C1B01">
        <w:t xml:space="preserve"> </w:t>
      </w:r>
      <w:r w:rsidRPr="000C1B01">
        <w:tab/>
      </w:r>
      <w:r w:rsidRPr="000C1B01">
        <w:rPr>
          <w:rFonts w:eastAsia="Calibri" w:cs="Arial"/>
          <w:lang w:val="en-US" w:eastAsia="en-US"/>
        </w:rPr>
        <w:t>Czech Fund for Independent Journalism (2026), written input</w:t>
      </w:r>
      <w:r w:rsidR="00576634" w:rsidRPr="000C1B01">
        <w:rPr>
          <w:rFonts w:eastAsia="Calibri" w:cs="Arial"/>
          <w:lang w:val="en-US" w:eastAsia="en-US"/>
        </w:rPr>
        <w:t xml:space="preserve">, p. </w:t>
      </w:r>
      <w:r w:rsidR="000C1B01" w:rsidRPr="000C1B01">
        <w:rPr>
          <w:rFonts w:eastAsia="Calibri" w:cs="Arial"/>
          <w:lang w:val="en-US" w:eastAsia="en-US"/>
        </w:rPr>
        <w:t>1</w:t>
      </w:r>
      <w:r w:rsidRPr="000C1B01">
        <w:t>.</w:t>
      </w:r>
    </w:p>
  </w:footnote>
  <w:footnote w:id="119">
    <w:p w14:paraId="7A6A5D61" w14:textId="77777777" w:rsidR="000F51FC" w:rsidRPr="0064216C" w:rsidRDefault="000F51FC" w:rsidP="0072797F">
      <w:pPr>
        <w:pStyle w:val="FootnoteText"/>
      </w:pPr>
      <w:r w:rsidRPr="0064216C">
        <w:rPr>
          <w:vertAlign w:val="superscript"/>
        </w:rPr>
        <w:footnoteRef/>
      </w:r>
      <w:r w:rsidRPr="0064216C">
        <w:t xml:space="preserve"> </w:t>
      </w:r>
      <w:r w:rsidRPr="0064216C">
        <w:tab/>
        <w:t xml:space="preserve">Bezpečná žurnalistika (2026). </w:t>
      </w:r>
    </w:p>
  </w:footnote>
  <w:footnote w:id="120">
    <w:p w14:paraId="5D8D47E0" w14:textId="6DE3EFB2" w:rsidR="000F51FC" w:rsidRPr="002962A8" w:rsidRDefault="000F51FC" w:rsidP="0072797F">
      <w:pPr>
        <w:pStyle w:val="FootnoteText"/>
      </w:pPr>
      <w:r>
        <w:rPr>
          <w:rStyle w:val="FootnoteReference"/>
        </w:rPr>
        <w:footnoteRef/>
      </w:r>
      <w:r>
        <w:t xml:space="preserve"> </w:t>
      </w:r>
      <w:r w:rsidR="00A12CF8">
        <w:tab/>
      </w:r>
      <w:r>
        <w:t xml:space="preserve">Country visit Czechia, Czech Syndicate of Journalists and </w:t>
      </w:r>
      <w:r w:rsidR="00580836">
        <w:t>European Centre for Press and Media Freedom</w:t>
      </w:r>
      <w:r w:rsidR="0004728B">
        <w:t xml:space="preserve"> (ECPMF)</w:t>
      </w:r>
      <w:r>
        <w:t xml:space="preserve">. </w:t>
      </w:r>
    </w:p>
  </w:footnote>
  <w:footnote w:id="121">
    <w:p w14:paraId="100B3D1C" w14:textId="77777777" w:rsidR="000F51FC" w:rsidRPr="00AE4119" w:rsidRDefault="000F51FC" w:rsidP="0072797F">
      <w:pPr>
        <w:pStyle w:val="FootnoteText"/>
      </w:pPr>
      <w:r w:rsidRPr="0064216C">
        <w:rPr>
          <w:rStyle w:val="FootnoteReference"/>
          <w:lang w:val="en-IE"/>
        </w:rPr>
        <w:footnoteRef/>
      </w:r>
      <w:r w:rsidRPr="00AE4119">
        <w:t xml:space="preserve"> </w:t>
      </w:r>
      <w:r w:rsidRPr="00AE4119">
        <w:tab/>
        <w:t>Media Pluralism Monitor (2026), pp. 13-15.</w:t>
      </w:r>
    </w:p>
  </w:footnote>
  <w:footnote w:id="122">
    <w:p w14:paraId="1A3421C2" w14:textId="77777777" w:rsidR="000F51FC" w:rsidRPr="0064216C" w:rsidRDefault="000F51FC" w:rsidP="0072797F">
      <w:pPr>
        <w:pStyle w:val="FootnoteText"/>
      </w:pPr>
      <w:r w:rsidRPr="00560F4D">
        <w:rPr>
          <w:rStyle w:val="FootnoteReference"/>
          <w:lang w:val="en-IE"/>
        </w:rPr>
        <w:footnoteRef/>
      </w:r>
      <w:r w:rsidRPr="00560F4D">
        <w:t xml:space="preserve"> </w:t>
      </w:r>
      <w:r w:rsidRPr="00560F4D">
        <w:tab/>
      </w:r>
      <w:r w:rsidRPr="007D3DF6">
        <w:rPr>
          <w:rFonts w:eastAsia="Calibri" w:cs="Arial"/>
          <w:lang w:val="en-US" w:eastAsia="en-US"/>
        </w:rPr>
        <w:t>Council of Europe, Platform to promote the protection of journalism and safety of journalists (2026).</w:t>
      </w:r>
      <w:r w:rsidRPr="0064216C">
        <w:t xml:space="preserve"> </w:t>
      </w:r>
    </w:p>
  </w:footnote>
  <w:footnote w:id="123">
    <w:p w14:paraId="5CFFC6FF" w14:textId="23CF09C8" w:rsidR="000F51FC" w:rsidRPr="0064216C" w:rsidRDefault="000F51FC" w:rsidP="0072797F">
      <w:pPr>
        <w:pStyle w:val="FootnoteText"/>
      </w:pPr>
      <w:r w:rsidRPr="00235FD7">
        <w:rPr>
          <w:rStyle w:val="FootnoteReference"/>
          <w:lang w:val="en-IE"/>
        </w:rPr>
        <w:footnoteRef/>
      </w:r>
      <w:r w:rsidRPr="00235FD7">
        <w:t xml:space="preserve"> </w:t>
      </w:r>
      <w:r w:rsidRPr="00235FD7">
        <w:tab/>
      </w:r>
      <w:r w:rsidR="006753BE" w:rsidRPr="00235FD7">
        <w:rPr>
          <w:rFonts w:eastAsia="Calibri" w:cs="Arial"/>
          <w:lang w:val="en-US" w:eastAsia="en-US"/>
        </w:rPr>
        <w:t xml:space="preserve"> Media Freedom Rapid Response</w:t>
      </w:r>
      <w:r w:rsidRPr="00235FD7">
        <w:rPr>
          <w:rFonts w:eastAsia="Calibri" w:cs="Arial"/>
          <w:lang w:val="en-US" w:eastAsia="en-US"/>
        </w:rPr>
        <w:t xml:space="preserve"> (2026).</w:t>
      </w:r>
    </w:p>
  </w:footnote>
  <w:footnote w:id="124">
    <w:p w14:paraId="5B821554" w14:textId="77777777" w:rsidR="000F51FC" w:rsidRPr="0064216C" w:rsidRDefault="000F51FC" w:rsidP="0072797F">
      <w:pPr>
        <w:pStyle w:val="FootnoteText"/>
      </w:pPr>
      <w:r w:rsidRPr="0064216C">
        <w:rPr>
          <w:rStyle w:val="FootnoteReference"/>
          <w:lang w:val="en-IE"/>
        </w:rPr>
        <w:footnoteRef/>
      </w:r>
      <w:r w:rsidRPr="0064216C">
        <w:t xml:space="preserve"> </w:t>
      </w:r>
      <w:r w:rsidRPr="0064216C">
        <w:tab/>
        <w:t>Czech Government (2026), written input, p. 19.</w:t>
      </w:r>
    </w:p>
  </w:footnote>
  <w:footnote w:id="125">
    <w:p w14:paraId="2879188D" w14:textId="214112C2" w:rsidR="000F51FC" w:rsidRPr="0064216C" w:rsidRDefault="000F51FC" w:rsidP="0072797F">
      <w:pPr>
        <w:pStyle w:val="FootnoteText"/>
      </w:pPr>
      <w:r w:rsidRPr="0064216C">
        <w:rPr>
          <w:rStyle w:val="FootnoteReference"/>
          <w:lang w:val="en-IE"/>
        </w:rPr>
        <w:footnoteRef/>
      </w:r>
      <w:r w:rsidRPr="0064216C">
        <w:t xml:space="preserve"> </w:t>
      </w:r>
      <w:r w:rsidRPr="0064216C">
        <w:tab/>
      </w:r>
      <w:r w:rsidR="00124C39">
        <w:t>ibidem.</w:t>
      </w:r>
    </w:p>
  </w:footnote>
  <w:footnote w:id="126">
    <w:p w14:paraId="130011D4"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Czech Government (2026), written input, p. 19.</w:t>
      </w:r>
    </w:p>
  </w:footnote>
  <w:footnote w:id="127">
    <w:p w14:paraId="04B8BDD9"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Glopolis (2026), written input, p. 16.</w:t>
      </w:r>
    </w:p>
  </w:footnote>
  <w:footnote w:id="128">
    <w:p w14:paraId="6B73FCB3" w14:textId="790360BE" w:rsidR="000F51FC" w:rsidRPr="0064216C" w:rsidRDefault="000F51FC" w:rsidP="00590B30">
      <w:pPr>
        <w:pStyle w:val="FootnoteText"/>
        <w:rPr>
          <w:lang w:val="en-IE"/>
        </w:rPr>
      </w:pPr>
      <w:r w:rsidRPr="0064216C">
        <w:rPr>
          <w:rStyle w:val="FootnoteReference"/>
          <w:lang w:val="en-IE"/>
        </w:rPr>
        <w:footnoteRef/>
      </w:r>
      <w:r w:rsidR="00A03A1D" w:rsidRPr="0064216C">
        <w:rPr>
          <w:lang w:val="en-IE"/>
        </w:rPr>
        <w:t xml:space="preserve"> </w:t>
      </w:r>
      <w:r w:rsidR="00A03A1D" w:rsidRPr="0064216C">
        <w:rPr>
          <w:lang w:val="en-IE"/>
        </w:rPr>
        <w:tab/>
        <w:t>Country visit Czechia, Office of the Government (civil society section) and Glopolis.</w:t>
      </w:r>
      <w:r w:rsidR="00A03A1D" w:rsidRPr="00A03A1D">
        <w:rPr>
          <w:lang w:val="cs-CZ"/>
        </w:rPr>
        <w:t xml:space="preserve"> </w:t>
      </w:r>
    </w:p>
  </w:footnote>
  <w:footnote w:id="129">
    <w:p w14:paraId="2510C558" w14:textId="053BA00F" w:rsidR="00A03A1D" w:rsidRPr="007D3DF6" w:rsidRDefault="00A03A1D">
      <w:pPr>
        <w:pStyle w:val="FootnoteText"/>
        <w:rPr>
          <w:lang w:val="cs-CZ"/>
        </w:rPr>
      </w:pPr>
      <w:r>
        <w:rPr>
          <w:rStyle w:val="FootnoteReference"/>
        </w:rPr>
        <w:footnoteRef/>
      </w:r>
      <w:r>
        <w:rPr>
          <w:lang w:val="cs-CZ"/>
        </w:rPr>
        <w:t xml:space="preserve"> </w:t>
      </w:r>
      <w:r>
        <w:rPr>
          <w:lang w:val="cs-CZ"/>
        </w:rPr>
        <w:tab/>
        <w:t>Glopolis (2026), written input, p. 17.</w:t>
      </w:r>
    </w:p>
  </w:footnote>
  <w:footnote w:id="130">
    <w:p w14:paraId="4B62F145"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In 2025, out of 99 acts, 27 were adopted in a fast-track procedure.</w:t>
      </w:r>
    </w:p>
  </w:footnote>
  <w:footnote w:id="131">
    <w:p w14:paraId="2DCEB8F6" w14:textId="51562A99"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Pr>
          <w:lang w:val="en-IE"/>
        </w:rPr>
        <w:tab/>
      </w:r>
      <w:r w:rsidRPr="0064216C">
        <w:rPr>
          <w:lang w:val="en-IE"/>
        </w:rPr>
        <w:t xml:space="preserve">In 2025, out of 99 acts, 14 were adopted based on the proposal of the </w:t>
      </w:r>
      <w:r>
        <w:rPr>
          <w:lang w:val="en-IE"/>
        </w:rPr>
        <w:t>m</w:t>
      </w:r>
      <w:r w:rsidRPr="0064216C">
        <w:rPr>
          <w:lang w:val="en-IE"/>
        </w:rPr>
        <w:t>embers of Parliament.</w:t>
      </w:r>
    </w:p>
  </w:footnote>
  <w:footnote w:id="132">
    <w:p w14:paraId="6E9A877C"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Czech Government (2026), written input, p. 20.</w:t>
      </w:r>
    </w:p>
  </w:footnote>
  <w:footnote w:id="133">
    <w:p w14:paraId="394CA33F"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r>
      <w:r w:rsidRPr="007F2FB9">
        <w:rPr>
          <w:lang w:val="en-IE"/>
        </w:rPr>
        <w:t>Venice Commission (2025), para. 34.</w:t>
      </w:r>
    </w:p>
  </w:footnote>
  <w:footnote w:id="134">
    <w:p w14:paraId="4C1F83D3" w14:textId="0E8FFA83"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r>
      <w:r w:rsidRPr="00DA4925">
        <w:rPr>
          <w:lang w:val="en-IE"/>
        </w:rPr>
        <w:t>ENNHRI</w:t>
      </w:r>
      <w:r w:rsidRPr="009F6C83">
        <w:rPr>
          <w:lang w:val="en-IE"/>
        </w:rPr>
        <w:t>, written input; Glopolis</w:t>
      </w:r>
      <w:r w:rsidRPr="0064216C">
        <w:rPr>
          <w:lang w:val="en-IE"/>
        </w:rPr>
        <w:t>, written input, p. 16; STEM-Network for the Protection of Democracy, written input, p. 16; Country visit Czechia, Změna k lepšímu</w:t>
      </w:r>
      <w:r w:rsidR="00DA4925">
        <w:rPr>
          <w:lang w:val="en-IE"/>
        </w:rPr>
        <w:t>,</w:t>
      </w:r>
      <w:r w:rsidR="00DA4925" w:rsidRPr="00DA4925">
        <w:rPr>
          <w:lang w:val="en-IE"/>
        </w:rPr>
        <w:t xml:space="preserve"> </w:t>
      </w:r>
      <w:r w:rsidR="00DA4925">
        <w:rPr>
          <w:lang w:val="en-IE"/>
        </w:rPr>
        <w:t xml:space="preserve">Office of the </w:t>
      </w:r>
      <w:r w:rsidR="00DA4925" w:rsidRPr="00DA4925">
        <w:rPr>
          <w:lang w:val="en-IE"/>
        </w:rPr>
        <w:t>Public Defender of Rights</w:t>
      </w:r>
      <w:r w:rsidRPr="0064216C">
        <w:rPr>
          <w:lang w:val="en-IE"/>
        </w:rPr>
        <w:t>.</w:t>
      </w:r>
    </w:p>
  </w:footnote>
  <w:footnote w:id="135">
    <w:p w14:paraId="70110A9E" w14:textId="4C13A8CD"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 xml:space="preserve">Other examples comprise the Construction Act, </w:t>
      </w:r>
      <w:r w:rsidR="0088325E" w:rsidRPr="0064216C">
        <w:rPr>
          <w:lang w:val="en-IE"/>
        </w:rPr>
        <w:t xml:space="preserve">Code </w:t>
      </w:r>
      <w:r w:rsidR="0088325E">
        <w:rPr>
          <w:lang w:val="en-IE"/>
        </w:rPr>
        <w:t xml:space="preserve">of </w:t>
      </w:r>
      <w:r w:rsidRPr="0064216C">
        <w:rPr>
          <w:lang w:val="en-IE"/>
        </w:rPr>
        <w:t xml:space="preserve">Administrative </w:t>
      </w:r>
      <w:r w:rsidR="0088325E">
        <w:rPr>
          <w:lang w:val="en-IE"/>
        </w:rPr>
        <w:t>Justice</w:t>
      </w:r>
      <w:r w:rsidRPr="0064216C">
        <w:rPr>
          <w:lang w:val="en-IE"/>
        </w:rPr>
        <w:t>, or Asylum Act.</w:t>
      </w:r>
    </w:p>
  </w:footnote>
  <w:footnote w:id="136">
    <w:p w14:paraId="58D14EDA" w14:textId="77777777" w:rsidR="000F51FC" w:rsidRPr="000E09BD" w:rsidRDefault="000F51FC" w:rsidP="00590B30">
      <w:pPr>
        <w:pStyle w:val="FootnoteText"/>
      </w:pPr>
      <w:r w:rsidRPr="00141FF8">
        <w:rPr>
          <w:rStyle w:val="FootnoteReference"/>
        </w:rPr>
        <w:footnoteRef/>
      </w:r>
      <w:r w:rsidRPr="00141FF8">
        <w:t xml:space="preserve"> </w:t>
      </w:r>
      <w:r w:rsidRPr="00141FF8">
        <w:tab/>
      </w:r>
      <w:r w:rsidRPr="00D50243">
        <w:t>Figure</w:t>
      </w:r>
      <w:r>
        <w:t>s</w:t>
      </w:r>
      <w:r w:rsidRPr="00141FF8">
        <w:t xml:space="preserve"> 5</w:t>
      </w:r>
      <w:r>
        <w:rPr>
          <w:lang w:val="bg-BG"/>
        </w:rPr>
        <w:t>2</w:t>
      </w:r>
      <w:r>
        <w:t xml:space="preserve"> and 53</w:t>
      </w:r>
      <w:r w:rsidRPr="00141FF8">
        <w:t>, 202</w:t>
      </w:r>
      <w:r>
        <w:rPr>
          <w:lang w:val="bg-BG"/>
        </w:rPr>
        <w:t>6</w:t>
      </w:r>
      <w:r w:rsidRPr="00141FF8">
        <w:t xml:space="preserve"> EU Justice Scoreboard</w:t>
      </w:r>
      <w:r>
        <w:t xml:space="preserve">. 26% and 23% </w:t>
      </w:r>
      <w:r w:rsidRPr="00056F1D">
        <w:t xml:space="preserve">of the surveyed investors </w:t>
      </w:r>
      <w:r>
        <w:t xml:space="preserve">respectively </w:t>
      </w:r>
      <w:r w:rsidRPr="00056F1D">
        <w:t>perceive</w:t>
      </w:r>
      <w:r>
        <w:t xml:space="preserve"> </w:t>
      </w:r>
      <w:r w:rsidRPr="00E65DB6">
        <w:t>concerns about quality, efficiency or independence of justice</w:t>
      </w:r>
      <w:r>
        <w:t xml:space="preserve"> and </w:t>
      </w:r>
      <w:r w:rsidRPr="00196C3B">
        <w:t>frequent changes in legislation or concerns about the quality of the law-making process</w:t>
      </w:r>
      <w:r w:rsidRPr="00056F1D">
        <w:t xml:space="preserve"> as a reason for the lack of confidence in investment protection</w:t>
      </w:r>
      <w:r w:rsidRPr="00DA4734">
        <w:t>.</w:t>
      </w:r>
      <w:r w:rsidRPr="0020756C">
        <w:rPr>
          <w:lang w:eastAsia="fr-FR"/>
        </w:rPr>
        <w:t xml:space="preserve"> </w:t>
      </w:r>
    </w:p>
  </w:footnote>
  <w:footnote w:id="137">
    <w:p w14:paraId="70CAD9FC" w14:textId="77777777" w:rsidR="000F51FC" w:rsidRPr="00141FF8" w:rsidRDefault="000F51FC" w:rsidP="00590B30">
      <w:pPr>
        <w:pStyle w:val="FootnoteText"/>
      </w:pPr>
      <w:r w:rsidRPr="00141FF8">
        <w:rPr>
          <w:rStyle w:val="FootnoteReference"/>
        </w:rPr>
        <w:footnoteRef/>
      </w:r>
      <w:r w:rsidRPr="00141FF8">
        <w:t xml:space="preserve"> </w:t>
      </w:r>
      <w:r w:rsidRPr="00141FF8">
        <w:tab/>
        <w:t xml:space="preserve">Figure </w:t>
      </w:r>
      <w:r>
        <w:t>60</w:t>
      </w:r>
      <w:r w:rsidRPr="00141FF8">
        <w:t>, 202</w:t>
      </w:r>
      <w:r>
        <w:t>6</w:t>
      </w:r>
      <w:r w:rsidRPr="00141FF8">
        <w:t xml:space="preserve"> EU Justice Scoreboard.</w:t>
      </w:r>
      <w:r>
        <w:t xml:space="preserve"> </w:t>
      </w:r>
    </w:p>
  </w:footnote>
  <w:footnote w:id="138">
    <w:p w14:paraId="31197BC1" w14:textId="77777777" w:rsidR="000F51FC" w:rsidRPr="00866ABA" w:rsidRDefault="000F51FC" w:rsidP="00590B30">
      <w:pPr>
        <w:pStyle w:val="FootnoteText"/>
      </w:pPr>
      <w:r>
        <w:rPr>
          <w:rStyle w:val="FootnoteReference"/>
        </w:rPr>
        <w:footnoteRef/>
      </w:r>
      <w:r>
        <w:t xml:space="preserve"> </w:t>
      </w:r>
      <w:r w:rsidRPr="00866ABA">
        <w:tab/>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39">
    <w:p w14:paraId="3A583574" w14:textId="68ACDA4B" w:rsidR="001E199C" w:rsidRPr="00F03B64" w:rsidRDefault="001E199C">
      <w:pPr>
        <w:pStyle w:val="FootnoteText"/>
        <w:rPr>
          <w:lang w:val="cs-CZ"/>
        </w:rPr>
      </w:pPr>
      <w:r>
        <w:rPr>
          <w:rStyle w:val="FootnoteReference"/>
        </w:rPr>
        <w:footnoteRef/>
      </w:r>
      <w:r>
        <w:tab/>
      </w:r>
      <w:r w:rsidR="000A4AF9">
        <w:t>In</w:t>
      </w:r>
      <w:r w:rsidR="006E6E66">
        <w:t xml:space="preserve"> </w:t>
      </w:r>
      <w:r w:rsidR="00620D12" w:rsidRPr="00620D12">
        <w:t xml:space="preserve">June 2026, the Parliament elected the new Public Defender. </w:t>
      </w:r>
      <w:r w:rsidR="008E166F">
        <w:t>The</w:t>
      </w:r>
      <w:r w:rsidR="009E2C6F">
        <w:t xml:space="preserve"> </w:t>
      </w:r>
      <w:r w:rsidR="00620D12" w:rsidRPr="00620D12">
        <w:t xml:space="preserve">Parliament's decision did not take into account the recommendation of the </w:t>
      </w:r>
      <w:r w:rsidR="009E2C6F">
        <w:t xml:space="preserve">evaluating </w:t>
      </w:r>
      <w:r w:rsidR="00620D12" w:rsidRPr="00620D12">
        <w:t xml:space="preserve">commission as regards </w:t>
      </w:r>
      <w:r w:rsidR="009E2C6F">
        <w:t xml:space="preserve">the candidates for the Public Defender and the </w:t>
      </w:r>
      <w:r w:rsidR="00620D12" w:rsidRPr="00620D12">
        <w:t>Childrens'</w:t>
      </w:r>
      <w:r w:rsidR="009E2C6F">
        <w:t xml:space="preserve"> ombudsperson </w:t>
      </w:r>
      <w:r w:rsidR="00620D12" w:rsidRPr="00620D12">
        <w:t>issued in</w:t>
      </w:r>
      <w:r w:rsidR="009E2C6F">
        <w:t xml:space="preserve"> the beginning of 2026.</w:t>
      </w:r>
      <w:r w:rsidR="00620D12" w:rsidRPr="00620D12">
        <w:t> </w:t>
      </w:r>
    </w:p>
  </w:footnote>
  <w:footnote w:id="140">
    <w:p w14:paraId="39AD6179" w14:textId="77777777"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STEM-Network for the Protection of Democracy, written input, p. 17</w:t>
      </w:r>
      <w:r>
        <w:rPr>
          <w:lang w:val="en-IE"/>
        </w:rPr>
        <w:t>.</w:t>
      </w:r>
    </w:p>
  </w:footnote>
  <w:footnote w:id="141">
    <w:p w14:paraId="4B8127F0" w14:textId="4089786D"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t>Country visit Czechia, Office of the Public Defender of Rights.</w:t>
      </w:r>
    </w:p>
  </w:footnote>
  <w:footnote w:id="142">
    <w:p w14:paraId="34E5F8E1" w14:textId="556C70E8"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r>
      <w:r w:rsidRPr="00AE4119">
        <w:rPr>
          <w:lang w:val="en-IE"/>
        </w:rPr>
        <w:t>Country visit</w:t>
      </w:r>
      <w:r w:rsidR="00B23428">
        <w:rPr>
          <w:lang w:val="en-IE"/>
        </w:rPr>
        <w:t xml:space="preserve"> Czechia</w:t>
      </w:r>
      <w:r w:rsidRPr="00AE4119">
        <w:rPr>
          <w:lang w:val="en-IE"/>
        </w:rPr>
        <w:t xml:space="preserve">, Office of the Government, Office of the Public Defender of </w:t>
      </w:r>
      <w:r w:rsidRPr="001C5205">
        <w:rPr>
          <w:lang w:val="en-IE"/>
        </w:rPr>
        <w:t>Rights</w:t>
      </w:r>
      <w:r w:rsidR="00DB360D" w:rsidRPr="001C5205">
        <w:rPr>
          <w:lang w:val="en-IE"/>
        </w:rPr>
        <w:t xml:space="preserve">, </w:t>
      </w:r>
      <w:r w:rsidRPr="001C5205">
        <w:rPr>
          <w:lang w:val="en-IE"/>
        </w:rPr>
        <w:t>Glopolis</w:t>
      </w:r>
      <w:r w:rsidR="00225EBF" w:rsidRPr="00370B57">
        <w:rPr>
          <w:lang w:val="en-IE"/>
        </w:rPr>
        <w:t>,</w:t>
      </w:r>
      <w:r w:rsidRPr="001C5205">
        <w:rPr>
          <w:lang w:val="en-IE"/>
        </w:rPr>
        <w:t xml:space="preserve"> STEM-Network for the Protection of Democracy.</w:t>
      </w:r>
    </w:p>
  </w:footnote>
  <w:footnote w:id="143">
    <w:p w14:paraId="7589AFA5" w14:textId="77777777" w:rsidR="000F51FC" w:rsidRPr="00715D1C" w:rsidRDefault="000F51FC" w:rsidP="00590B30">
      <w:pPr>
        <w:pStyle w:val="FootnoteText"/>
      </w:pPr>
      <w:r w:rsidRPr="00715D1C">
        <w:rPr>
          <w:rStyle w:val="FootnoteReference"/>
        </w:rPr>
        <w:footnoteRef/>
      </w:r>
      <w:r w:rsidRPr="00715D1C">
        <w:t xml:space="preserve"> </w:t>
      </w:r>
      <w:r>
        <w:tab/>
      </w:r>
      <w:r w:rsidRPr="004B0CFE">
        <w:t xml:space="preserve">For an explanation of the supervision process, see the </w:t>
      </w:r>
      <w:hyperlink r:id="rId2" w:history="1">
        <w:r w:rsidRPr="00101918">
          <w:rPr>
            <w:rStyle w:val="Hyperlink2"/>
          </w:rPr>
          <w:t>website</w:t>
        </w:r>
      </w:hyperlink>
      <w:r w:rsidRPr="00101918">
        <w:t xml:space="preserve"> of the Council of Europe. </w:t>
      </w:r>
      <w:r>
        <w:t xml:space="preserve"> </w:t>
      </w:r>
    </w:p>
  </w:footnote>
  <w:footnote w:id="144">
    <w:p w14:paraId="3E2439F6" w14:textId="77777777" w:rsidR="000F51FC" w:rsidRPr="00715D1C" w:rsidRDefault="000F51FC" w:rsidP="00590B30">
      <w:pPr>
        <w:pStyle w:val="FootnoteText"/>
      </w:pPr>
      <w:r w:rsidRPr="00715D1C">
        <w:rPr>
          <w:rStyle w:val="FootnoteReference"/>
        </w:rPr>
        <w:footnoteRef/>
      </w:r>
      <w:r w:rsidRPr="00715D1C">
        <w:t xml:space="preserve"> </w:t>
      </w:r>
      <w:r>
        <w:tab/>
      </w:r>
      <w:r w:rsidRPr="00715D1C">
        <w:t>All figures calculated by the European Implementation Network</w:t>
      </w:r>
      <w:r>
        <w:t xml:space="preserve"> (EIN)</w:t>
      </w:r>
      <w:r w:rsidRPr="00715D1C">
        <w:t xml:space="preserve"> and based on the number of cases that are considered pending at the annual cut-off date of 1 January </w:t>
      </w:r>
      <w:r>
        <w:t>2026</w:t>
      </w:r>
      <w:r w:rsidRPr="00715D1C">
        <w:t xml:space="preserve">. </w:t>
      </w:r>
      <w:r>
        <w:t>EIN (2026), written input</w:t>
      </w:r>
      <w:r w:rsidRPr="00715D1C">
        <w:t xml:space="preserve">, p. </w:t>
      </w:r>
      <w:r>
        <w:t>3</w:t>
      </w:r>
      <w:r w:rsidRPr="00715D1C">
        <w:t>.</w:t>
      </w:r>
    </w:p>
  </w:footnote>
  <w:footnote w:id="145">
    <w:p w14:paraId="0ED0774D" w14:textId="77777777" w:rsidR="000F51FC" w:rsidRPr="00715D1C" w:rsidRDefault="000F51FC" w:rsidP="00590B30">
      <w:pPr>
        <w:pStyle w:val="FootnoteText"/>
      </w:pPr>
      <w:r w:rsidRPr="00715D1C">
        <w:rPr>
          <w:rStyle w:val="FootnoteReference"/>
        </w:rPr>
        <w:footnoteRef/>
      </w:r>
      <w:r w:rsidRPr="00715D1C">
        <w:t xml:space="preserve"> </w:t>
      </w:r>
      <w:r>
        <w:tab/>
      </w:r>
      <w:r w:rsidRPr="00472538">
        <w:t xml:space="preserve">Judgment of the ECtHR, 57325/00, </w:t>
      </w:r>
      <w:r w:rsidRPr="00472538">
        <w:rPr>
          <w:i/>
        </w:rPr>
        <w:t>D.H. and Others v. the Czech Republic</w:t>
      </w:r>
      <w:r w:rsidRPr="00472538">
        <w:t>, pending implementation since 2007.</w:t>
      </w:r>
      <w:r w:rsidRPr="00715D1C">
        <w:t xml:space="preserve"> </w:t>
      </w:r>
    </w:p>
  </w:footnote>
  <w:footnote w:id="146">
    <w:p w14:paraId="6E7D6BC8" w14:textId="77777777" w:rsidR="000F51FC" w:rsidRPr="00087412" w:rsidRDefault="000F51FC" w:rsidP="00590B30">
      <w:pPr>
        <w:pStyle w:val="FootnoteText"/>
      </w:pPr>
      <w:r>
        <w:rPr>
          <w:rStyle w:val="FootnoteReference"/>
        </w:rPr>
        <w:footnoteRef/>
      </w:r>
      <w:r>
        <w:t xml:space="preserve"> </w:t>
      </w:r>
      <w:r>
        <w:tab/>
        <w:t>Council of Europe (2026</w:t>
      </w:r>
      <w:r w:rsidRPr="001808FD">
        <w:t>), p</w:t>
      </w:r>
      <w:r w:rsidRPr="00C22E9D">
        <w:t>. 162.</w:t>
      </w:r>
      <w:r>
        <w:t xml:space="preserve">  </w:t>
      </w:r>
    </w:p>
  </w:footnote>
  <w:footnote w:id="147">
    <w:p w14:paraId="5C9CDB4E" w14:textId="77777777" w:rsidR="000F51FC" w:rsidRPr="00715D1C" w:rsidRDefault="000F51FC" w:rsidP="00590B30">
      <w:pPr>
        <w:pStyle w:val="FootnoteText"/>
      </w:pPr>
      <w:r w:rsidRPr="00715D1C">
        <w:rPr>
          <w:rStyle w:val="FootnoteReference"/>
        </w:rPr>
        <w:footnoteRef/>
      </w:r>
      <w:r w:rsidRPr="00715D1C">
        <w:t xml:space="preserve"> </w:t>
      </w:r>
      <w:r>
        <w:tab/>
      </w:r>
      <w:r w:rsidRPr="00D04783">
        <w:t>Data according to the online database of the Council of Europe (HUDOC).</w:t>
      </w:r>
    </w:p>
  </w:footnote>
  <w:footnote w:id="148">
    <w:p w14:paraId="08961EB9" w14:textId="71B9164F"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r>
      <w:r w:rsidRPr="00ED5F6E">
        <w:rPr>
          <w:lang w:val="en-IE"/>
        </w:rPr>
        <w:t xml:space="preserve">Rating given by </w:t>
      </w:r>
      <w:r w:rsidRPr="00ED5F6E">
        <w:t>Civicus,</w:t>
      </w:r>
      <w:r w:rsidRPr="00635205">
        <w:t xml:space="preserve"> </w:t>
      </w:r>
      <w:r>
        <w:t>Czechia</w:t>
      </w:r>
      <w:r w:rsidRPr="00635205">
        <w:t xml:space="preserve">. </w:t>
      </w:r>
      <w:r w:rsidR="00010A3E">
        <w:t xml:space="preserve">Czechia’s score is 87/100. </w:t>
      </w:r>
      <w:r w:rsidRPr="00635205">
        <w:t>Ratings are on a five-category scale defined as: open, narrowed, obstructed, repressed and closed.</w:t>
      </w:r>
    </w:p>
  </w:footnote>
  <w:footnote w:id="149">
    <w:p w14:paraId="02255B74" w14:textId="095986D4"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Pr="0064216C">
        <w:rPr>
          <w:lang w:val="en-IE"/>
        </w:rPr>
        <w:tab/>
      </w:r>
      <w:r w:rsidRPr="00370B57">
        <w:rPr>
          <w:lang w:val="en-IE"/>
        </w:rPr>
        <w:t>ENNHRI (2026), written input</w:t>
      </w:r>
      <w:r w:rsidRPr="00003F0B">
        <w:rPr>
          <w:lang w:val="en-IE"/>
        </w:rPr>
        <w:t>; Glopolis (2026), written input</w:t>
      </w:r>
      <w:r w:rsidR="005347BF" w:rsidRPr="00003F0B">
        <w:rPr>
          <w:lang w:val="en-IE"/>
        </w:rPr>
        <w:t xml:space="preserve">, p. </w:t>
      </w:r>
      <w:r w:rsidR="00003F0B" w:rsidRPr="00003F0B">
        <w:rPr>
          <w:lang w:val="en-IE"/>
        </w:rPr>
        <w:t>19</w:t>
      </w:r>
      <w:r w:rsidRPr="00003F0B">
        <w:rPr>
          <w:lang w:val="en-IE"/>
        </w:rPr>
        <w:t>; STEM</w:t>
      </w:r>
      <w:r w:rsidRPr="0064216C">
        <w:rPr>
          <w:lang w:val="en-IE"/>
        </w:rPr>
        <w:t>-Network for the Protection of Democracy (2026), written input, p. 20</w:t>
      </w:r>
      <w:r w:rsidR="00295C97">
        <w:rPr>
          <w:lang w:val="en-IE"/>
        </w:rPr>
        <w:t xml:space="preserve">, </w:t>
      </w:r>
      <w:r w:rsidR="00153E64" w:rsidRPr="00153E64">
        <w:t>European Union Agency for</w:t>
      </w:r>
      <w:r w:rsidR="00295C97" w:rsidRPr="00153E64">
        <w:t xml:space="preserve"> Fundamental Rights</w:t>
      </w:r>
      <w:r w:rsidR="00295C97">
        <w:t xml:space="preserve"> </w:t>
      </w:r>
      <w:r w:rsidR="00295C97">
        <w:rPr>
          <w:lang w:val="en-IE"/>
        </w:rPr>
        <w:t>(2026), written input, p. 4</w:t>
      </w:r>
    </w:p>
  </w:footnote>
  <w:footnote w:id="150">
    <w:p w14:paraId="6E32261D" w14:textId="7D8A6893" w:rsidR="000F51FC" w:rsidRPr="002C0A90" w:rsidRDefault="000F51FC" w:rsidP="00590B30">
      <w:pPr>
        <w:pStyle w:val="FootnoteText"/>
      </w:pPr>
      <w:r>
        <w:rPr>
          <w:rStyle w:val="FootnoteReference"/>
        </w:rPr>
        <w:footnoteRef/>
      </w:r>
      <w:r>
        <w:t xml:space="preserve"> </w:t>
      </w:r>
      <w:r>
        <w:tab/>
        <w:t xml:space="preserve">Czech Government (2026b), </w:t>
      </w:r>
      <w:r w:rsidR="00AB30AD">
        <w:t xml:space="preserve">written input, </w:t>
      </w:r>
      <w:r>
        <w:t>p. 4.</w:t>
      </w:r>
    </w:p>
  </w:footnote>
  <w:footnote w:id="151">
    <w:p w14:paraId="14ED107D" w14:textId="2A8C0978" w:rsidR="000F51FC" w:rsidRPr="00B42602" w:rsidRDefault="000F51FC" w:rsidP="00590B30">
      <w:pPr>
        <w:pStyle w:val="FootnoteText"/>
        <w:rPr>
          <w:lang w:val="cs-CZ"/>
        </w:rPr>
      </w:pPr>
      <w:r>
        <w:rPr>
          <w:rStyle w:val="FootnoteReference"/>
        </w:rPr>
        <w:footnoteRef/>
      </w:r>
      <w:r>
        <w:t xml:space="preserve"> </w:t>
      </w:r>
      <w:r>
        <w:tab/>
      </w:r>
      <w:r>
        <w:rPr>
          <w:lang w:val="cs-CZ"/>
        </w:rPr>
        <w:t xml:space="preserve">Transparency International and </w:t>
      </w:r>
      <w:r w:rsidRPr="00E52A11">
        <w:rPr>
          <w:lang w:val="cs-CZ"/>
        </w:rPr>
        <w:t>Glopolis (2026), additional written input.</w:t>
      </w:r>
    </w:p>
  </w:footnote>
  <w:footnote w:id="152">
    <w:p w14:paraId="659E4FD1" w14:textId="7E7949C0" w:rsidR="000F51FC" w:rsidRPr="0064216C" w:rsidRDefault="000F51FC" w:rsidP="00590B30">
      <w:pPr>
        <w:pStyle w:val="FootnoteText"/>
        <w:rPr>
          <w:lang w:val="en-IE"/>
        </w:rPr>
      </w:pPr>
      <w:r w:rsidRPr="0064216C">
        <w:rPr>
          <w:rStyle w:val="FootnoteReference"/>
          <w:lang w:val="en-IE"/>
        </w:rPr>
        <w:footnoteRef/>
      </w:r>
      <w:r w:rsidRPr="0064216C">
        <w:rPr>
          <w:lang w:val="en-IE"/>
        </w:rPr>
        <w:t xml:space="preserve"> </w:t>
      </w:r>
      <w:r w:rsidR="00B23428">
        <w:rPr>
          <w:lang w:val="en-IE"/>
        </w:rPr>
        <w:t xml:space="preserve"> </w:t>
      </w:r>
      <w:r w:rsidRPr="0064216C">
        <w:rPr>
          <w:lang w:val="en-IE"/>
        </w:rPr>
        <w:t>This is the case for example for CSOs operating in the area of environment or foreign aid. Country visit</w:t>
      </w:r>
      <w:r w:rsidR="00B23428">
        <w:rPr>
          <w:lang w:val="en-IE"/>
        </w:rPr>
        <w:t xml:space="preserve"> Czechia</w:t>
      </w:r>
      <w:r w:rsidRPr="0064216C">
        <w:rPr>
          <w:lang w:val="en-IE"/>
        </w:rPr>
        <w:t>, Office of the Government.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02941" w14:textId="77777777" w:rsidR="00196865" w:rsidRPr="00196865" w:rsidRDefault="00196865" w:rsidP="0019686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224DB" w14:textId="77777777" w:rsidR="00196865" w:rsidRPr="00196865" w:rsidRDefault="00196865" w:rsidP="0019686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5D6EC" w14:textId="77777777" w:rsidR="00196865" w:rsidRPr="00196865" w:rsidRDefault="00196865" w:rsidP="0019686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7FF65" w14:textId="1E9CB8E4" w:rsidR="000F51FC" w:rsidRDefault="000F51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BF203" w14:textId="1D67D5B5" w:rsidR="000F51FC" w:rsidRPr="00280EA2" w:rsidRDefault="000F51FC">
    <w:pPr>
      <w:pStyle w:val="Header"/>
      <w:jc w:val="right"/>
      <w:rPr>
        <w:bC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B6857" w14:textId="2445A376" w:rsidR="000F51FC" w:rsidRDefault="000F51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72311C4"/>
    <w:multiLevelType w:val="multilevel"/>
    <w:tmpl w:val="7AF0B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3"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24174CE"/>
    <w:multiLevelType w:val="hybridMultilevel"/>
    <w:tmpl w:val="AB6A7CD4"/>
    <w:lvl w:ilvl="0" w:tplc="63CE425A">
      <w:start w:val="1"/>
      <w:numFmt w:val="decimal"/>
      <w:lvlText w:val="%1)"/>
      <w:lvlJc w:val="left"/>
      <w:pPr>
        <w:ind w:left="1020" w:hanging="360"/>
      </w:pPr>
    </w:lvl>
    <w:lvl w:ilvl="1" w:tplc="C4380A2C">
      <w:start w:val="1"/>
      <w:numFmt w:val="decimal"/>
      <w:lvlText w:val="%2)"/>
      <w:lvlJc w:val="left"/>
      <w:pPr>
        <w:ind w:left="1020" w:hanging="360"/>
      </w:pPr>
    </w:lvl>
    <w:lvl w:ilvl="2" w:tplc="9EE67958">
      <w:start w:val="1"/>
      <w:numFmt w:val="decimal"/>
      <w:lvlText w:val="%3)"/>
      <w:lvlJc w:val="left"/>
      <w:pPr>
        <w:ind w:left="1020" w:hanging="360"/>
      </w:pPr>
    </w:lvl>
    <w:lvl w:ilvl="3" w:tplc="97647CBA">
      <w:start w:val="1"/>
      <w:numFmt w:val="decimal"/>
      <w:lvlText w:val="%4)"/>
      <w:lvlJc w:val="left"/>
      <w:pPr>
        <w:ind w:left="1020" w:hanging="360"/>
      </w:pPr>
    </w:lvl>
    <w:lvl w:ilvl="4" w:tplc="7416DE10">
      <w:start w:val="1"/>
      <w:numFmt w:val="decimal"/>
      <w:lvlText w:val="%5)"/>
      <w:lvlJc w:val="left"/>
      <w:pPr>
        <w:ind w:left="1020" w:hanging="360"/>
      </w:pPr>
    </w:lvl>
    <w:lvl w:ilvl="5" w:tplc="8B1C423E">
      <w:start w:val="1"/>
      <w:numFmt w:val="decimal"/>
      <w:lvlText w:val="%6)"/>
      <w:lvlJc w:val="left"/>
      <w:pPr>
        <w:ind w:left="1020" w:hanging="360"/>
      </w:pPr>
    </w:lvl>
    <w:lvl w:ilvl="6" w:tplc="A7FCF942">
      <w:start w:val="1"/>
      <w:numFmt w:val="decimal"/>
      <w:lvlText w:val="%7)"/>
      <w:lvlJc w:val="left"/>
      <w:pPr>
        <w:ind w:left="1020" w:hanging="360"/>
      </w:pPr>
    </w:lvl>
    <w:lvl w:ilvl="7" w:tplc="EB90AFE4">
      <w:start w:val="1"/>
      <w:numFmt w:val="decimal"/>
      <w:lvlText w:val="%8)"/>
      <w:lvlJc w:val="left"/>
      <w:pPr>
        <w:ind w:left="1020" w:hanging="360"/>
      </w:pPr>
    </w:lvl>
    <w:lvl w:ilvl="8" w:tplc="70FCE29C">
      <w:start w:val="1"/>
      <w:numFmt w:val="decimal"/>
      <w:lvlText w:val="%9)"/>
      <w:lvlJc w:val="left"/>
      <w:pPr>
        <w:ind w:left="1020" w:hanging="360"/>
      </w:pPr>
    </w:lvl>
  </w:abstractNum>
  <w:abstractNum w:abstractNumId="18"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40F0569"/>
    <w:multiLevelType w:val="hybridMultilevel"/>
    <w:tmpl w:val="F72CD3A0"/>
    <w:lvl w:ilvl="0" w:tplc="18090013">
      <w:start w:val="1"/>
      <w:numFmt w:val="upperRoman"/>
      <w:lvlText w:val="%1."/>
      <w:lvlJc w:val="righ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7ED7A03"/>
    <w:multiLevelType w:val="multilevel"/>
    <w:tmpl w:val="4EF0CD4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4" w15:restartNumberingAfterBreak="0">
    <w:nsid w:val="5A390522"/>
    <w:multiLevelType w:val="hybridMultilevel"/>
    <w:tmpl w:val="5338F4D6"/>
    <w:lvl w:ilvl="0" w:tplc="53401B30">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5"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6" w15:restartNumberingAfterBreak="0">
    <w:nsid w:val="65A248C1"/>
    <w:multiLevelType w:val="hybridMultilevel"/>
    <w:tmpl w:val="04B012FC"/>
    <w:lvl w:ilvl="0" w:tplc="F6B6696E">
      <w:start w:val="1"/>
      <w:numFmt w:val="upperRoman"/>
      <w:lvlText w:val="%1."/>
      <w:lvlJc w:val="left"/>
      <w:pPr>
        <w:ind w:left="720" w:hanging="72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705D6FA2"/>
    <w:multiLevelType w:val="hybridMultilevel"/>
    <w:tmpl w:val="CA525FA4"/>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1"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1"/>
  </w:num>
  <w:num w:numId="2">
    <w:abstractNumId w:val="11"/>
  </w:num>
  <w:num w:numId="3">
    <w:abstractNumId w:val="10"/>
  </w:num>
  <w:num w:numId="4">
    <w:abstractNumId w:val="30"/>
  </w:num>
  <w:num w:numId="5">
    <w:abstractNumId w:val="19"/>
  </w:num>
  <w:num w:numId="6">
    <w:abstractNumId w:val="16"/>
  </w:num>
  <w:num w:numId="7">
    <w:abstractNumId w:val="9"/>
  </w:num>
  <w:num w:numId="8">
    <w:abstractNumId w:val="4"/>
  </w:num>
  <w:num w:numId="9">
    <w:abstractNumId w:val="3"/>
  </w:num>
  <w:num w:numId="10">
    <w:abstractNumId w:val="2"/>
  </w:num>
  <w:num w:numId="11">
    <w:abstractNumId w:val="18"/>
  </w:num>
  <w:num w:numId="12">
    <w:abstractNumId w:val="6"/>
  </w:num>
  <w:num w:numId="13">
    <w:abstractNumId w:val="1"/>
  </w:num>
  <w:num w:numId="14">
    <w:abstractNumId w:val="27"/>
  </w:num>
  <w:num w:numId="15">
    <w:abstractNumId w:val="21"/>
  </w:num>
  <w:num w:numId="16">
    <w:abstractNumId w:val="14"/>
  </w:num>
  <w:num w:numId="17">
    <w:abstractNumId w:val="7"/>
  </w:num>
  <w:num w:numId="18">
    <w:abstractNumId w:val="13"/>
  </w:num>
  <w:num w:numId="19">
    <w:abstractNumId w:val="0"/>
  </w:num>
  <w:num w:numId="20">
    <w:abstractNumId w:val="12"/>
  </w:num>
  <w:num w:numId="21">
    <w:abstractNumId w:val="5"/>
  </w:num>
  <w:num w:numId="22">
    <w:abstractNumId w:val="15"/>
  </w:num>
  <w:num w:numId="23">
    <w:abstractNumId w:val="23"/>
  </w:num>
  <w:num w:numId="24">
    <w:abstractNumId w:val="29"/>
  </w:num>
  <w:num w:numId="25">
    <w:abstractNumId w:val="20"/>
  </w:num>
  <w:num w:numId="26">
    <w:abstractNumId w:val="25"/>
  </w:num>
  <w:num w:numId="27">
    <w:abstractNumId w:val="24"/>
  </w:num>
  <w:num w:numId="28">
    <w:abstractNumId w:val="28"/>
  </w:num>
  <w:num w:numId="29">
    <w:abstractNumId w:val="22"/>
  </w:num>
  <w:num w:numId="30">
    <w:abstractNumId w:val="26"/>
  </w:num>
  <w:num w:numId="31">
    <w:abstractNumId w:val="8"/>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B482372B-9E58-45E1-9023-99C2E22562BF"/>
    <w:docVar w:name="LW_COVERPAGE_TYPE" w:val="1"/>
    <w:docVar w:name="LW_CROSSREFERENCE" w:val="{COM(2026) 900 final} - {SWD(2026) 901 final} - {SWD(2026) 902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b_Country Chapter on the rule of law situation in Czechia"/>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1357"/>
    <w:rsid w:val="000030BC"/>
    <w:rsid w:val="00003F0B"/>
    <w:rsid w:val="00004A92"/>
    <w:rsid w:val="00006715"/>
    <w:rsid w:val="00010A3E"/>
    <w:rsid w:val="00011207"/>
    <w:rsid w:val="00013E45"/>
    <w:rsid w:val="00015794"/>
    <w:rsid w:val="000215BA"/>
    <w:rsid w:val="0002199C"/>
    <w:rsid w:val="00021BB6"/>
    <w:rsid w:val="0002206A"/>
    <w:rsid w:val="00022AA2"/>
    <w:rsid w:val="000230B8"/>
    <w:rsid w:val="00025FEF"/>
    <w:rsid w:val="00026992"/>
    <w:rsid w:val="000270C8"/>
    <w:rsid w:val="00030F82"/>
    <w:rsid w:val="000324F6"/>
    <w:rsid w:val="00035081"/>
    <w:rsid w:val="0003778F"/>
    <w:rsid w:val="00041DA7"/>
    <w:rsid w:val="00045898"/>
    <w:rsid w:val="0004728B"/>
    <w:rsid w:val="000473EC"/>
    <w:rsid w:val="00047BF6"/>
    <w:rsid w:val="00050D11"/>
    <w:rsid w:val="00051672"/>
    <w:rsid w:val="00053D9F"/>
    <w:rsid w:val="00057979"/>
    <w:rsid w:val="00062D17"/>
    <w:rsid w:val="00070782"/>
    <w:rsid w:val="00071C42"/>
    <w:rsid w:val="00071FA4"/>
    <w:rsid w:val="00072A4D"/>
    <w:rsid w:val="0007384D"/>
    <w:rsid w:val="00076788"/>
    <w:rsid w:val="00076E29"/>
    <w:rsid w:val="000771FF"/>
    <w:rsid w:val="00077D1E"/>
    <w:rsid w:val="00082454"/>
    <w:rsid w:val="000829D2"/>
    <w:rsid w:val="000830E3"/>
    <w:rsid w:val="000846CB"/>
    <w:rsid w:val="00085977"/>
    <w:rsid w:val="00086223"/>
    <w:rsid w:val="00091052"/>
    <w:rsid w:val="000977C9"/>
    <w:rsid w:val="000A2AA4"/>
    <w:rsid w:val="000A306F"/>
    <w:rsid w:val="000A4AF9"/>
    <w:rsid w:val="000B3E12"/>
    <w:rsid w:val="000B61DD"/>
    <w:rsid w:val="000B77AB"/>
    <w:rsid w:val="000C0B5A"/>
    <w:rsid w:val="000C0D17"/>
    <w:rsid w:val="000C123D"/>
    <w:rsid w:val="000C1325"/>
    <w:rsid w:val="000C1B01"/>
    <w:rsid w:val="000C2154"/>
    <w:rsid w:val="000C317B"/>
    <w:rsid w:val="000C467D"/>
    <w:rsid w:val="000C4FF9"/>
    <w:rsid w:val="000C559F"/>
    <w:rsid w:val="000C624C"/>
    <w:rsid w:val="000C6BB5"/>
    <w:rsid w:val="000D024A"/>
    <w:rsid w:val="000D1453"/>
    <w:rsid w:val="000D2B42"/>
    <w:rsid w:val="000D39CF"/>
    <w:rsid w:val="000D6FE9"/>
    <w:rsid w:val="000D744F"/>
    <w:rsid w:val="000D7752"/>
    <w:rsid w:val="000D7B13"/>
    <w:rsid w:val="000E1611"/>
    <w:rsid w:val="000E1AB0"/>
    <w:rsid w:val="000E3D48"/>
    <w:rsid w:val="000E445C"/>
    <w:rsid w:val="000F1491"/>
    <w:rsid w:val="000F2B46"/>
    <w:rsid w:val="000F3C54"/>
    <w:rsid w:val="000F51FC"/>
    <w:rsid w:val="000F7B93"/>
    <w:rsid w:val="00101DC3"/>
    <w:rsid w:val="00102B47"/>
    <w:rsid w:val="0010508C"/>
    <w:rsid w:val="00106C91"/>
    <w:rsid w:val="001164CD"/>
    <w:rsid w:val="00116B92"/>
    <w:rsid w:val="00122BCC"/>
    <w:rsid w:val="00124C39"/>
    <w:rsid w:val="00125D61"/>
    <w:rsid w:val="001333D4"/>
    <w:rsid w:val="001340B2"/>
    <w:rsid w:val="001418DB"/>
    <w:rsid w:val="0014191B"/>
    <w:rsid w:val="00143ACC"/>
    <w:rsid w:val="0014427E"/>
    <w:rsid w:val="00147249"/>
    <w:rsid w:val="00152DFE"/>
    <w:rsid w:val="00153E64"/>
    <w:rsid w:val="001554E7"/>
    <w:rsid w:val="00155542"/>
    <w:rsid w:val="0016085C"/>
    <w:rsid w:val="001608A7"/>
    <w:rsid w:val="00161DD6"/>
    <w:rsid w:val="00162DED"/>
    <w:rsid w:val="00164C6D"/>
    <w:rsid w:val="00165E0B"/>
    <w:rsid w:val="00167ACD"/>
    <w:rsid w:val="00167DEE"/>
    <w:rsid w:val="00171D8A"/>
    <w:rsid w:val="001751B2"/>
    <w:rsid w:val="00176435"/>
    <w:rsid w:val="00176D1E"/>
    <w:rsid w:val="00176EA1"/>
    <w:rsid w:val="00180C84"/>
    <w:rsid w:val="0018244C"/>
    <w:rsid w:val="001912FC"/>
    <w:rsid w:val="001913DE"/>
    <w:rsid w:val="00191572"/>
    <w:rsid w:val="0019186A"/>
    <w:rsid w:val="0019274A"/>
    <w:rsid w:val="00192AFD"/>
    <w:rsid w:val="00194657"/>
    <w:rsid w:val="0019542A"/>
    <w:rsid w:val="00196425"/>
    <w:rsid w:val="00196865"/>
    <w:rsid w:val="001977F2"/>
    <w:rsid w:val="00197920"/>
    <w:rsid w:val="001A01A9"/>
    <w:rsid w:val="001A03D2"/>
    <w:rsid w:val="001A1C3C"/>
    <w:rsid w:val="001A3096"/>
    <w:rsid w:val="001A4DDD"/>
    <w:rsid w:val="001A5AD4"/>
    <w:rsid w:val="001B2D48"/>
    <w:rsid w:val="001B34C4"/>
    <w:rsid w:val="001B511F"/>
    <w:rsid w:val="001B725A"/>
    <w:rsid w:val="001B7E4E"/>
    <w:rsid w:val="001C2D34"/>
    <w:rsid w:val="001C4786"/>
    <w:rsid w:val="001C508D"/>
    <w:rsid w:val="001C5205"/>
    <w:rsid w:val="001D4AAD"/>
    <w:rsid w:val="001D5A51"/>
    <w:rsid w:val="001D6536"/>
    <w:rsid w:val="001D7ED8"/>
    <w:rsid w:val="001E199C"/>
    <w:rsid w:val="001E26E2"/>
    <w:rsid w:val="001E2BB0"/>
    <w:rsid w:val="001E3402"/>
    <w:rsid w:val="001E614C"/>
    <w:rsid w:val="001E62A6"/>
    <w:rsid w:val="001F01EF"/>
    <w:rsid w:val="001F2491"/>
    <w:rsid w:val="001F6EB2"/>
    <w:rsid w:val="001F758E"/>
    <w:rsid w:val="00200A3B"/>
    <w:rsid w:val="00201553"/>
    <w:rsid w:val="0020313D"/>
    <w:rsid w:val="00206EBC"/>
    <w:rsid w:val="00207283"/>
    <w:rsid w:val="00213E3F"/>
    <w:rsid w:val="00214995"/>
    <w:rsid w:val="00214A17"/>
    <w:rsid w:val="00216B0E"/>
    <w:rsid w:val="00216F06"/>
    <w:rsid w:val="00220678"/>
    <w:rsid w:val="00222229"/>
    <w:rsid w:val="00222917"/>
    <w:rsid w:val="00223CBD"/>
    <w:rsid w:val="00223EAC"/>
    <w:rsid w:val="00225EBF"/>
    <w:rsid w:val="00231427"/>
    <w:rsid w:val="0023477C"/>
    <w:rsid w:val="00235654"/>
    <w:rsid w:val="00235E26"/>
    <w:rsid w:val="00235FD7"/>
    <w:rsid w:val="00240D2E"/>
    <w:rsid w:val="00241881"/>
    <w:rsid w:val="0024195D"/>
    <w:rsid w:val="002441A9"/>
    <w:rsid w:val="002446CA"/>
    <w:rsid w:val="002451B6"/>
    <w:rsid w:val="00246A25"/>
    <w:rsid w:val="00252436"/>
    <w:rsid w:val="002551EE"/>
    <w:rsid w:val="00260200"/>
    <w:rsid w:val="00260E2E"/>
    <w:rsid w:val="00265223"/>
    <w:rsid w:val="00265B53"/>
    <w:rsid w:val="002666F9"/>
    <w:rsid w:val="002717F9"/>
    <w:rsid w:val="00284871"/>
    <w:rsid w:val="0028753D"/>
    <w:rsid w:val="002930CE"/>
    <w:rsid w:val="002937F1"/>
    <w:rsid w:val="00294B65"/>
    <w:rsid w:val="00295BBA"/>
    <w:rsid w:val="00295C97"/>
    <w:rsid w:val="002A037B"/>
    <w:rsid w:val="002A2054"/>
    <w:rsid w:val="002A25AB"/>
    <w:rsid w:val="002A4492"/>
    <w:rsid w:val="002A7E2D"/>
    <w:rsid w:val="002B05DC"/>
    <w:rsid w:val="002B064B"/>
    <w:rsid w:val="002B084F"/>
    <w:rsid w:val="002B1310"/>
    <w:rsid w:val="002B163D"/>
    <w:rsid w:val="002B1EB1"/>
    <w:rsid w:val="002B4EEE"/>
    <w:rsid w:val="002B57FD"/>
    <w:rsid w:val="002C4C58"/>
    <w:rsid w:val="002D18F0"/>
    <w:rsid w:val="002D1903"/>
    <w:rsid w:val="002D410C"/>
    <w:rsid w:val="002D426C"/>
    <w:rsid w:val="002D49F7"/>
    <w:rsid w:val="002D4D25"/>
    <w:rsid w:val="002E023A"/>
    <w:rsid w:val="002E0A12"/>
    <w:rsid w:val="002E1E19"/>
    <w:rsid w:val="002E463B"/>
    <w:rsid w:val="002E4EDB"/>
    <w:rsid w:val="002E57BA"/>
    <w:rsid w:val="002F0D2B"/>
    <w:rsid w:val="002F1C6F"/>
    <w:rsid w:val="002F2C73"/>
    <w:rsid w:val="002F3062"/>
    <w:rsid w:val="002F47D0"/>
    <w:rsid w:val="002F646E"/>
    <w:rsid w:val="002F6F1A"/>
    <w:rsid w:val="00300532"/>
    <w:rsid w:val="00300C78"/>
    <w:rsid w:val="00300EDC"/>
    <w:rsid w:val="003038BD"/>
    <w:rsid w:val="0030471A"/>
    <w:rsid w:val="00310D20"/>
    <w:rsid w:val="003127B4"/>
    <w:rsid w:val="00313F03"/>
    <w:rsid w:val="00313FAA"/>
    <w:rsid w:val="00315EEF"/>
    <w:rsid w:val="00317C28"/>
    <w:rsid w:val="0032147C"/>
    <w:rsid w:val="003225E4"/>
    <w:rsid w:val="00322D67"/>
    <w:rsid w:val="00324103"/>
    <w:rsid w:val="0032553E"/>
    <w:rsid w:val="0033019F"/>
    <w:rsid w:val="003301DA"/>
    <w:rsid w:val="00332CDB"/>
    <w:rsid w:val="003365BD"/>
    <w:rsid w:val="00336E69"/>
    <w:rsid w:val="00337F6B"/>
    <w:rsid w:val="00341105"/>
    <w:rsid w:val="003446F2"/>
    <w:rsid w:val="0035272B"/>
    <w:rsid w:val="00355A71"/>
    <w:rsid w:val="00356EE7"/>
    <w:rsid w:val="0036096C"/>
    <w:rsid w:val="00360EAC"/>
    <w:rsid w:val="00363050"/>
    <w:rsid w:val="003646BC"/>
    <w:rsid w:val="003659F1"/>
    <w:rsid w:val="00366E3F"/>
    <w:rsid w:val="00370B57"/>
    <w:rsid w:val="00372B91"/>
    <w:rsid w:val="00373471"/>
    <w:rsid w:val="003752E0"/>
    <w:rsid w:val="003767A3"/>
    <w:rsid w:val="0038090E"/>
    <w:rsid w:val="0038107B"/>
    <w:rsid w:val="00381B9E"/>
    <w:rsid w:val="00381F26"/>
    <w:rsid w:val="00382C47"/>
    <w:rsid w:val="003832D9"/>
    <w:rsid w:val="003847FA"/>
    <w:rsid w:val="00384835"/>
    <w:rsid w:val="0038623A"/>
    <w:rsid w:val="0039542E"/>
    <w:rsid w:val="003A1334"/>
    <w:rsid w:val="003A2619"/>
    <w:rsid w:val="003A30B3"/>
    <w:rsid w:val="003A5A23"/>
    <w:rsid w:val="003B06F5"/>
    <w:rsid w:val="003B2B41"/>
    <w:rsid w:val="003B35C7"/>
    <w:rsid w:val="003B53CF"/>
    <w:rsid w:val="003B6A10"/>
    <w:rsid w:val="003C003E"/>
    <w:rsid w:val="003C53EA"/>
    <w:rsid w:val="003C57BB"/>
    <w:rsid w:val="003C5A40"/>
    <w:rsid w:val="003C73BA"/>
    <w:rsid w:val="003C7675"/>
    <w:rsid w:val="003D068D"/>
    <w:rsid w:val="003D1705"/>
    <w:rsid w:val="003D2292"/>
    <w:rsid w:val="003D2974"/>
    <w:rsid w:val="003D494C"/>
    <w:rsid w:val="003D5571"/>
    <w:rsid w:val="003D5C3E"/>
    <w:rsid w:val="003D69EC"/>
    <w:rsid w:val="003E2A04"/>
    <w:rsid w:val="003F213E"/>
    <w:rsid w:val="003F332F"/>
    <w:rsid w:val="003F3547"/>
    <w:rsid w:val="003F4F64"/>
    <w:rsid w:val="003F77E2"/>
    <w:rsid w:val="00402007"/>
    <w:rsid w:val="00403AD6"/>
    <w:rsid w:val="00403C2D"/>
    <w:rsid w:val="004063C2"/>
    <w:rsid w:val="00407B93"/>
    <w:rsid w:val="00407C42"/>
    <w:rsid w:val="00410C99"/>
    <w:rsid w:val="00415B3D"/>
    <w:rsid w:val="0041609A"/>
    <w:rsid w:val="004160F1"/>
    <w:rsid w:val="00416903"/>
    <w:rsid w:val="00417916"/>
    <w:rsid w:val="00420B73"/>
    <w:rsid w:val="00421CF7"/>
    <w:rsid w:val="00423788"/>
    <w:rsid w:val="0042599F"/>
    <w:rsid w:val="00434432"/>
    <w:rsid w:val="00435F37"/>
    <w:rsid w:val="00437CEE"/>
    <w:rsid w:val="004415E3"/>
    <w:rsid w:val="004416EE"/>
    <w:rsid w:val="00441F66"/>
    <w:rsid w:val="004426A5"/>
    <w:rsid w:val="00451694"/>
    <w:rsid w:val="00451992"/>
    <w:rsid w:val="004529BA"/>
    <w:rsid w:val="00453F5E"/>
    <w:rsid w:val="00455F1A"/>
    <w:rsid w:val="004573A0"/>
    <w:rsid w:val="00457ED3"/>
    <w:rsid w:val="004633A6"/>
    <w:rsid w:val="00464B41"/>
    <w:rsid w:val="004665E2"/>
    <w:rsid w:val="00466B04"/>
    <w:rsid w:val="00470C7C"/>
    <w:rsid w:val="00470E33"/>
    <w:rsid w:val="00471930"/>
    <w:rsid w:val="00472538"/>
    <w:rsid w:val="00475A26"/>
    <w:rsid w:val="00476116"/>
    <w:rsid w:val="00482C60"/>
    <w:rsid w:val="0048499F"/>
    <w:rsid w:val="0048557B"/>
    <w:rsid w:val="004906E0"/>
    <w:rsid w:val="00491063"/>
    <w:rsid w:val="004910B6"/>
    <w:rsid w:val="00493970"/>
    <w:rsid w:val="00495113"/>
    <w:rsid w:val="004A1D92"/>
    <w:rsid w:val="004A2752"/>
    <w:rsid w:val="004A2F9A"/>
    <w:rsid w:val="004A3788"/>
    <w:rsid w:val="004A4460"/>
    <w:rsid w:val="004B0F49"/>
    <w:rsid w:val="004B4995"/>
    <w:rsid w:val="004B5870"/>
    <w:rsid w:val="004B7A50"/>
    <w:rsid w:val="004D0AFB"/>
    <w:rsid w:val="004D17B3"/>
    <w:rsid w:val="004D3374"/>
    <w:rsid w:val="004D3891"/>
    <w:rsid w:val="004D5CA7"/>
    <w:rsid w:val="004E528C"/>
    <w:rsid w:val="004F2425"/>
    <w:rsid w:val="004F3936"/>
    <w:rsid w:val="004F418B"/>
    <w:rsid w:val="004F4B3A"/>
    <w:rsid w:val="004F4D4A"/>
    <w:rsid w:val="004F510D"/>
    <w:rsid w:val="004F54DD"/>
    <w:rsid w:val="005011ED"/>
    <w:rsid w:val="00501F1F"/>
    <w:rsid w:val="0050258E"/>
    <w:rsid w:val="00504968"/>
    <w:rsid w:val="0050672D"/>
    <w:rsid w:val="00507242"/>
    <w:rsid w:val="0050733A"/>
    <w:rsid w:val="00507654"/>
    <w:rsid w:val="0051289F"/>
    <w:rsid w:val="005148C7"/>
    <w:rsid w:val="00517E7C"/>
    <w:rsid w:val="00522790"/>
    <w:rsid w:val="00525C88"/>
    <w:rsid w:val="005262D9"/>
    <w:rsid w:val="005277C8"/>
    <w:rsid w:val="00531EC5"/>
    <w:rsid w:val="0053216D"/>
    <w:rsid w:val="00533A9F"/>
    <w:rsid w:val="00533C77"/>
    <w:rsid w:val="005347BF"/>
    <w:rsid w:val="005347CC"/>
    <w:rsid w:val="00535317"/>
    <w:rsid w:val="0053543C"/>
    <w:rsid w:val="00535604"/>
    <w:rsid w:val="0053799A"/>
    <w:rsid w:val="00540347"/>
    <w:rsid w:val="00541B7F"/>
    <w:rsid w:val="005423B8"/>
    <w:rsid w:val="005441F3"/>
    <w:rsid w:val="0054570A"/>
    <w:rsid w:val="005473CD"/>
    <w:rsid w:val="0055292C"/>
    <w:rsid w:val="005600BA"/>
    <w:rsid w:val="00560F4D"/>
    <w:rsid w:val="0056124E"/>
    <w:rsid w:val="00561AF5"/>
    <w:rsid w:val="005624E7"/>
    <w:rsid w:val="0056273F"/>
    <w:rsid w:val="00566A0B"/>
    <w:rsid w:val="00566CCC"/>
    <w:rsid w:val="00570094"/>
    <w:rsid w:val="00571767"/>
    <w:rsid w:val="00576634"/>
    <w:rsid w:val="00576CB4"/>
    <w:rsid w:val="00577EF4"/>
    <w:rsid w:val="00580836"/>
    <w:rsid w:val="00582970"/>
    <w:rsid w:val="00583FF4"/>
    <w:rsid w:val="0058638F"/>
    <w:rsid w:val="00586F83"/>
    <w:rsid w:val="00590B30"/>
    <w:rsid w:val="00590E21"/>
    <w:rsid w:val="00593139"/>
    <w:rsid w:val="00593D99"/>
    <w:rsid w:val="00594158"/>
    <w:rsid w:val="00594C2D"/>
    <w:rsid w:val="005963D5"/>
    <w:rsid w:val="00597C59"/>
    <w:rsid w:val="005A0AA6"/>
    <w:rsid w:val="005A0C54"/>
    <w:rsid w:val="005A42FF"/>
    <w:rsid w:val="005B0121"/>
    <w:rsid w:val="005B0162"/>
    <w:rsid w:val="005B33AC"/>
    <w:rsid w:val="005B67AA"/>
    <w:rsid w:val="005C2969"/>
    <w:rsid w:val="005C341A"/>
    <w:rsid w:val="005C3AA8"/>
    <w:rsid w:val="005C7012"/>
    <w:rsid w:val="005C7D5F"/>
    <w:rsid w:val="005D2A85"/>
    <w:rsid w:val="005D55D5"/>
    <w:rsid w:val="005D56B7"/>
    <w:rsid w:val="005D7B4A"/>
    <w:rsid w:val="005D7C71"/>
    <w:rsid w:val="005E1B17"/>
    <w:rsid w:val="005E23E2"/>
    <w:rsid w:val="005E3141"/>
    <w:rsid w:val="005E3812"/>
    <w:rsid w:val="005E3990"/>
    <w:rsid w:val="005E41EB"/>
    <w:rsid w:val="005E4BE2"/>
    <w:rsid w:val="005E6C97"/>
    <w:rsid w:val="005E7BEA"/>
    <w:rsid w:val="005F0513"/>
    <w:rsid w:val="005F3B55"/>
    <w:rsid w:val="005F470D"/>
    <w:rsid w:val="005F4DE6"/>
    <w:rsid w:val="005F56F5"/>
    <w:rsid w:val="005F6288"/>
    <w:rsid w:val="005F74E3"/>
    <w:rsid w:val="00602C7F"/>
    <w:rsid w:val="00604D59"/>
    <w:rsid w:val="006066DF"/>
    <w:rsid w:val="00607C9E"/>
    <w:rsid w:val="00610A2B"/>
    <w:rsid w:val="00610E62"/>
    <w:rsid w:val="00612960"/>
    <w:rsid w:val="006129A1"/>
    <w:rsid w:val="00614A17"/>
    <w:rsid w:val="006155CC"/>
    <w:rsid w:val="00616D49"/>
    <w:rsid w:val="00617A09"/>
    <w:rsid w:val="00620B3C"/>
    <w:rsid w:val="00620D12"/>
    <w:rsid w:val="00622BFC"/>
    <w:rsid w:val="00622CB8"/>
    <w:rsid w:val="006234B4"/>
    <w:rsid w:val="006249A4"/>
    <w:rsid w:val="006259E9"/>
    <w:rsid w:val="00627A11"/>
    <w:rsid w:val="00630093"/>
    <w:rsid w:val="00630152"/>
    <w:rsid w:val="0063018A"/>
    <w:rsid w:val="00633161"/>
    <w:rsid w:val="0063370D"/>
    <w:rsid w:val="006437EB"/>
    <w:rsid w:val="00643EBC"/>
    <w:rsid w:val="00644C0A"/>
    <w:rsid w:val="00645AE4"/>
    <w:rsid w:val="00647857"/>
    <w:rsid w:val="00652F62"/>
    <w:rsid w:val="006558EC"/>
    <w:rsid w:val="00656C44"/>
    <w:rsid w:val="00660552"/>
    <w:rsid w:val="00660A05"/>
    <w:rsid w:val="006613CC"/>
    <w:rsid w:val="00662022"/>
    <w:rsid w:val="0066223A"/>
    <w:rsid w:val="00664092"/>
    <w:rsid w:val="006674D2"/>
    <w:rsid w:val="0066792B"/>
    <w:rsid w:val="00673AC1"/>
    <w:rsid w:val="006743B3"/>
    <w:rsid w:val="00674953"/>
    <w:rsid w:val="006753BE"/>
    <w:rsid w:val="00675878"/>
    <w:rsid w:val="00675D19"/>
    <w:rsid w:val="00680173"/>
    <w:rsid w:val="00686AD3"/>
    <w:rsid w:val="006873F0"/>
    <w:rsid w:val="006903F5"/>
    <w:rsid w:val="00691AF7"/>
    <w:rsid w:val="00692F17"/>
    <w:rsid w:val="0069452E"/>
    <w:rsid w:val="006946E8"/>
    <w:rsid w:val="00694763"/>
    <w:rsid w:val="0069523C"/>
    <w:rsid w:val="0069582A"/>
    <w:rsid w:val="006A00ED"/>
    <w:rsid w:val="006A22C8"/>
    <w:rsid w:val="006A297B"/>
    <w:rsid w:val="006A390B"/>
    <w:rsid w:val="006A7238"/>
    <w:rsid w:val="006B298C"/>
    <w:rsid w:val="006B3EC9"/>
    <w:rsid w:val="006B6DC6"/>
    <w:rsid w:val="006B751C"/>
    <w:rsid w:val="006C175E"/>
    <w:rsid w:val="006C297A"/>
    <w:rsid w:val="006C4929"/>
    <w:rsid w:val="006C4C94"/>
    <w:rsid w:val="006C4ED6"/>
    <w:rsid w:val="006C56D3"/>
    <w:rsid w:val="006D329E"/>
    <w:rsid w:val="006D462E"/>
    <w:rsid w:val="006D535D"/>
    <w:rsid w:val="006D68C0"/>
    <w:rsid w:val="006E039D"/>
    <w:rsid w:val="006E37ED"/>
    <w:rsid w:val="006E4B4B"/>
    <w:rsid w:val="006E6E66"/>
    <w:rsid w:val="006F235C"/>
    <w:rsid w:val="006F58BD"/>
    <w:rsid w:val="006F682F"/>
    <w:rsid w:val="006F7FFA"/>
    <w:rsid w:val="007001D1"/>
    <w:rsid w:val="00702B93"/>
    <w:rsid w:val="00705A95"/>
    <w:rsid w:val="0070679E"/>
    <w:rsid w:val="00706B35"/>
    <w:rsid w:val="00707D3F"/>
    <w:rsid w:val="00712441"/>
    <w:rsid w:val="00716669"/>
    <w:rsid w:val="00720D8D"/>
    <w:rsid w:val="00720E1E"/>
    <w:rsid w:val="0072195E"/>
    <w:rsid w:val="00722BD3"/>
    <w:rsid w:val="00726564"/>
    <w:rsid w:val="0072797F"/>
    <w:rsid w:val="00735041"/>
    <w:rsid w:val="0073550B"/>
    <w:rsid w:val="00736F23"/>
    <w:rsid w:val="00740773"/>
    <w:rsid w:val="00740C22"/>
    <w:rsid w:val="0074136D"/>
    <w:rsid w:val="007458F5"/>
    <w:rsid w:val="00753E12"/>
    <w:rsid w:val="00754BE1"/>
    <w:rsid w:val="00761B0D"/>
    <w:rsid w:val="007665EC"/>
    <w:rsid w:val="00771595"/>
    <w:rsid w:val="00771BC4"/>
    <w:rsid w:val="00771D47"/>
    <w:rsid w:val="00773B7E"/>
    <w:rsid w:val="00775CC5"/>
    <w:rsid w:val="0077788F"/>
    <w:rsid w:val="007849CF"/>
    <w:rsid w:val="0078525F"/>
    <w:rsid w:val="00786DD9"/>
    <w:rsid w:val="00786E5B"/>
    <w:rsid w:val="00787EF3"/>
    <w:rsid w:val="00790035"/>
    <w:rsid w:val="00790528"/>
    <w:rsid w:val="00792628"/>
    <w:rsid w:val="00793F76"/>
    <w:rsid w:val="00794D23"/>
    <w:rsid w:val="007950FC"/>
    <w:rsid w:val="007967F0"/>
    <w:rsid w:val="007970AE"/>
    <w:rsid w:val="007A212F"/>
    <w:rsid w:val="007A72B2"/>
    <w:rsid w:val="007B1DB7"/>
    <w:rsid w:val="007B34B7"/>
    <w:rsid w:val="007B52CA"/>
    <w:rsid w:val="007C1AA2"/>
    <w:rsid w:val="007C6E42"/>
    <w:rsid w:val="007C7272"/>
    <w:rsid w:val="007D2727"/>
    <w:rsid w:val="007D3481"/>
    <w:rsid w:val="007D3785"/>
    <w:rsid w:val="007D3DF6"/>
    <w:rsid w:val="007D5CE2"/>
    <w:rsid w:val="007D748F"/>
    <w:rsid w:val="007E4658"/>
    <w:rsid w:val="007E52AD"/>
    <w:rsid w:val="007E73F9"/>
    <w:rsid w:val="007F082C"/>
    <w:rsid w:val="007F108A"/>
    <w:rsid w:val="007F178A"/>
    <w:rsid w:val="007F2943"/>
    <w:rsid w:val="007F29F8"/>
    <w:rsid w:val="007F2F76"/>
    <w:rsid w:val="007F2FB9"/>
    <w:rsid w:val="007F3946"/>
    <w:rsid w:val="007F3D93"/>
    <w:rsid w:val="007F3F29"/>
    <w:rsid w:val="007F526B"/>
    <w:rsid w:val="007F62BB"/>
    <w:rsid w:val="007F63E2"/>
    <w:rsid w:val="007F651A"/>
    <w:rsid w:val="008078B2"/>
    <w:rsid w:val="00810B0F"/>
    <w:rsid w:val="00811373"/>
    <w:rsid w:val="00813C72"/>
    <w:rsid w:val="00816AD1"/>
    <w:rsid w:val="00821E0C"/>
    <w:rsid w:val="00822D58"/>
    <w:rsid w:val="0082448F"/>
    <w:rsid w:val="008246ED"/>
    <w:rsid w:val="008272B5"/>
    <w:rsid w:val="00827792"/>
    <w:rsid w:val="00832C1E"/>
    <w:rsid w:val="008340FD"/>
    <w:rsid w:val="00834D71"/>
    <w:rsid w:val="008369EE"/>
    <w:rsid w:val="00836CA5"/>
    <w:rsid w:val="00840422"/>
    <w:rsid w:val="0084609B"/>
    <w:rsid w:val="008466DE"/>
    <w:rsid w:val="00851603"/>
    <w:rsid w:val="00853A6C"/>
    <w:rsid w:val="008547DC"/>
    <w:rsid w:val="008547EC"/>
    <w:rsid w:val="00861373"/>
    <w:rsid w:val="00871A3C"/>
    <w:rsid w:val="00873C8E"/>
    <w:rsid w:val="008746CC"/>
    <w:rsid w:val="008749FB"/>
    <w:rsid w:val="00874A74"/>
    <w:rsid w:val="00875894"/>
    <w:rsid w:val="0088325E"/>
    <w:rsid w:val="00883E5C"/>
    <w:rsid w:val="00887A16"/>
    <w:rsid w:val="00892973"/>
    <w:rsid w:val="008A515E"/>
    <w:rsid w:val="008B0A04"/>
    <w:rsid w:val="008B1382"/>
    <w:rsid w:val="008C3065"/>
    <w:rsid w:val="008C6248"/>
    <w:rsid w:val="008D288B"/>
    <w:rsid w:val="008D4786"/>
    <w:rsid w:val="008D63CD"/>
    <w:rsid w:val="008D70FC"/>
    <w:rsid w:val="008E166F"/>
    <w:rsid w:val="008E259C"/>
    <w:rsid w:val="008E2A55"/>
    <w:rsid w:val="008E5AB7"/>
    <w:rsid w:val="008F0F01"/>
    <w:rsid w:val="008F1013"/>
    <w:rsid w:val="008F22CE"/>
    <w:rsid w:val="008F4F33"/>
    <w:rsid w:val="008F6C72"/>
    <w:rsid w:val="00900718"/>
    <w:rsid w:val="009012AA"/>
    <w:rsid w:val="009017E8"/>
    <w:rsid w:val="00910AFA"/>
    <w:rsid w:val="0091253A"/>
    <w:rsid w:val="00912B8F"/>
    <w:rsid w:val="00913550"/>
    <w:rsid w:val="0091370D"/>
    <w:rsid w:val="009169CE"/>
    <w:rsid w:val="00920182"/>
    <w:rsid w:val="00920F38"/>
    <w:rsid w:val="00922A3C"/>
    <w:rsid w:val="00924232"/>
    <w:rsid w:val="00924988"/>
    <w:rsid w:val="0093153E"/>
    <w:rsid w:val="009318FC"/>
    <w:rsid w:val="00931E5D"/>
    <w:rsid w:val="00934052"/>
    <w:rsid w:val="00934835"/>
    <w:rsid w:val="00936721"/>
    <w:rsid w:val="00937926"/>
    <w:rsid w:val="00941058"/>
    <w:rsid w:val="0094125E"/>
    <w:rsid w:val="00941A97"/>
    <w:rsid w:val="00942E1E"/>
    <w:rsid w:val="0094756A"/>
    <w:rsid w:val="009508C4"/>
    <w:rsid w:val="00950BF9"/>
    <w:rsid w:val="0095137E"/>
    <w:rsid w:val="00951F8A"/>
    <w:rsid w:val="0095537E"/>
    <w:rsid w:val="00956A4B"/>
    <w:rsid w:val="00957EA8"/>
    <w:rsid w:val="009612C9"/>
    <w:rsid w:val="00961760"/>
    <w:rsid w:val="00961A74"/>
    <w:rsid w:val="00961F5E"/>
    <w:rsid w:val="009625B9"/>
    <w:rsid w:val="0096429B"/>
    <w:rsid w:val="00967F29"/>
    <w:rsid w:val="009757FB"/>
    <w:rsid w:val="00976442"/>
    <w:rsid w:val="00983828"/>
    <w:rsid w:val="00983DB9"/>
    <w:rsid w:val="009863C8"/>
    <w:rsid w:val="00986A9A"/>
    <w:rsid w:val="00987265"/>
    <w:rsid w:val="00987278"/>
    <w:rsid w:val="0099091D"/>
    <w:rsid w:val="00992872"/>
    <w:rsid w:val="00992FF9"/>
    <w:rsid w:val="00996D40"/>
    <w:rsid w:val="00997D15"/>
    <w:rsid w:val="00997EA8"/>
    <w:rsid w:val="009A21AC"/>
    <w:rsid w:val="009A619D"/>
    <w:rsid w:val="009A6515"/>
    <w:rsid w:val="009A6E4D"/>
    <w:rsid w:val="009A719C"/>
    <w:rsid w:val="009B0FB7"/>
    <w:rsid w:val="009B260B"/>
    <w:rsid w:val="009B41A0"/>
    <w:rsid w:val="009B4EF4"/>
    <w:rsid w:val="009B6275"/>
    <w:rsid w:val="009C2C8A"/>
    <w:rsid w:val="009C597B"/>
    <w:rsid w:val="009D131A"/>
    <w:rsid w:val="009D199C"/>
    <w:rsid w:val="009D1F29"/>
    <w:rsid w:val="009D2D09"/>
    <w:rsid w:val="009D549B"/>
    <w:rsid w:val="009D602A"/>
    <w:rsid w:val="009D736A"/>
    <w:rsid w:val="009E2C6F"/>
    <w:rsid w:val="009E4521"/>
    <w:rsid w:val="009F0D47"/>
    <w:rsid w:val="009F696E"/>
    <w:rsid w:val="009F6C83"/>
    <w:rsid w:val="009F763D"/>
    <w:rsid w:val="00A01D75"/>
    <w:rsid w:val="00A0248B"/>
    <w:rsid w:val="00A0257A"/>
    <w:rsid w:val="00A02F48"/>
    <w:rsid w:val="00A03569"/>
    <w:rsid w:val="00A03A1D"/>
    <w:rsid w:val="00A046B4"/>
    <w:rsid w:val="00A04C5E"/>
    <w:rsid w:val="00A06082"/>
    <w:rsid w:val="00A06A94"/>
    <w:rsid w:val="00A07DBD"/>
    <w:rsid w:val="00A1182F"/>
    <w:rsid w:val="00A11EFE"/>
    <w:rsid w:val="00A12CF8"/>
    <w:rsid w:val="00A139D4"/>
    <w:rsid w:val="00A13E32"/>
    <w:rsid w:val="00A15818"/>
    <w:rsid w:val="00A16FDF"/>
    <w:rsid w:val="00A177F9"/>
    <w:rsid w:val="00A2164A"/>
    <w:rsid w:val="00A25A90"/>
    <w:rsid w:val="00A26623"/>
    <w:rsid w:val="00A31DB2"/>
    <w:rsid w:val="00A34448"/>
    <w:rsid w:val="00A4260A"/>
    <w:rsid w:val="00A43EC9"/>
    <w:rsid w:val="00A4749C"/>
    <w:rsid w:val="00A500A4"/>
    <w:rsid w:val="00A5311B"/>
    <w:rsid w:val="00A56728"/>
    <w:rsid w:val="00A56FE2"/>
    <w:rsid w:val="00A57CB0"/>
    <w:rsid w:val="00A6215D"/>
    <w:rsid w:val="00A63AC7"/>
    <w:rsid w:val="00A6667E"/>
    <w:rsid w:val="00A672E6"/>
    <w:rsid w:val="00A70DE1"/>
    <w:rsid w:val="00A71ECC"/>
    <w:rsid w:val="00A73037"/>
    <w:rsid w:val="00A7317E"/>
    <w:rsid w:val="00A731F9"/>
    <w:rsid w:val="00A7413F"/>
    <w:rsid w:val="00A76E89"/>
    <w:rsid w:val="00A8121B"/>
    <w:rsid w:val="00A8315A"/>
    <w:rsid w:val="00A83742"/>
    <w:rsid w:val="00A866FF"/>
    <w:rsid w:val="00A87BF9"/>
    <w:rsid w:val="00A90295"/>
    <w:rsid w:val="00A9082F"/>
    <w:rsid w:val="00A90870"/>
    <w:rsid w:val="00A9235C"/>
    <w:rsid w:val="00A933B4"/>
    <w:rsid w:val="00A953D3"/>
    <w:rsid w:val="00A95979"/>
    <w:rsid w:val="00A9641B"/>
    <w:rsid w:val="00A974F4"/>
    <w:rsid w:val="00AA160C"/>
    <w:rsid w:val="00AA48FC"/>
    <w:rsid w:val="00AA535E"/>
    <w:rsid w:val="00AA7FE0"/>
    <w:rsid w:val="00AB21D7"/>
    <w:rsid w:val="00AB2CE2"/>
    <w:rsid w:val="00AB30AD"/>
    <w:rsid w:val="00AC0419"/>
    <w:rsid w:val="00AC27C1"/>
    <w:rsid w:val="00AC2B3E"/>
    <w:rsid w:val="00AC300B"/>
    <w:rsid w:val="00AC3236"/>
    <w:rsid w:val="00AC4D02"/>
    <w:rsid w:val="00AC5167"/>
    <w:rsid w:val="00AC680F"/>
    <w:rsid w:val="00AC7637"/>
    <w:rsid w:val="00AD0183"/>
    <w:rsid w:val="00AD1073"/>
    <w:rsid w:val="00AD23C9"/>
    <w:rsid w:val="00AD3FFB"/>
    <w:rsid w:val="00AD7FD6"/>
    <w:rsid w:val="00AE1E40"/>
    <w:rsid w:val="00AE29E1"/>
    <w:rsid w:val="00AE3C6E"/>
    <w:rsid w:val="00AE474D"/>
    <w:rsid w:val="00AE5B27"/>
    <w:rsid w:val="00AE5CFD"/>
    <w:rsid w:val="00AE6DF3"/>
    <w:rsid w:val="00AE7FE3"/>
    <w:rsid w:val="00AF1989"/>
    <w:rsid w:val="00AF222A"/>
    <w:rsid w:val="00AF325A"/>
    <w:rsid w:val="00AF3C1D"/>
    <w:rsid w:val="00AF569D"/>
    <w:rsid w:val="00AF6D9A"/>
    <w:rsid w:val="00B01535"/>
    <w:rsid w:val="00B0233A"/>
    <w:rsid w:val="00B03755"/>
    <w:rsid w:val="00B043A4"/>
    <w:rsid w:val="00B04819"/>
    <w:rsid w:val="00B06360"/>
    <w:rsid w:val="00B06858"/>
    <w:rsid w:val="00B06C69"/>
    <w:rsid w:val="00B10205"/>
    <w:rsid w:val="00B107FA"/>
    <w:rsid w:val="00B13FBA"/>
    <w:rsid w:val="00B1414E"/>
    <w:rsid w:val="00B20002"/>
    <w:rsid w:val="00B20559"/>
    <w:rsid w:val="00B23428"/>
    <w:rsid w:val="00B23B4D"/>
    <w:rsid w:val="00B27D96"/>
    <w:rsid w:val="00B33712"/>
    <w:rsid w:val="00B340F4"/>
    <w:rsid w:val="00B34417"/>
    <w:rsid w:val="00B347F9"/>
    <w:rsid w:val="00B351FC"/>
    <w:rsid w:val="00B36008"/>
    <w:rsid w:val="00B438A9"/>
    <w:rsid w:val="00B4633C"/>
    <w:rsid w:val="00B47735"/>
    <w:rsid w:val="00B51782"/>
    <w:rsid w:val="00B528A3"/>
    <w:rsid w:val="00B54833"/>
    <w:rsid w:val="00B5589B"/>
    <w:rsid w:val="00B558ED"/>
    <w:rsid w:val="00B56F62"/>
    <w:rsid w:val="00B6033B"/>
    <w:rsid w:val="00B60965"/>
    <w:rsid w:val="00B6105B"/>
    <w:rsid w:val="00B62298"/>
    <w:rsid w:val="00B64BD3"/>
    <w:rsid w:val="00B66D9F"/>
    <w:rsid w:val="00B71D5A"/>
    <w:rsid w:val="00B7296C"/>
    <w:rsid w:val="00B742F4"/>
    <w:rsid w:val="00B763EE"/>
    <w:rsid w:val="00B76452"/>
    <w:rsid w:val="00B77CE5"/>
    <w:rsid w:val="00B81163"/>
    <w:rsid w:val="00B81BEC"/>
    <w:rsid w:val="00B85A3E"/>
    <w:rsid w:val="00B87E46"/>
    <w:rsid w:val="00B94966"/>
    <w:rsid w:val="00B95D52"/>
    <w:rsid w:val="00B97545"/>
    <w:rsid w:val="00B97969"/>
    <w:rsid w:val="00BA12D8"/>
    <w:rsid w:val="00BA40DB"/>
    <w:rsid w:val="00BA42C1"/>
    <w:rsid w:val="00BA4316"/>
    <w:rsid w:val="00BA4CDC"/>
    <w:rsid w:val="00BB08B9"/>
    <w:rsid w:val="00BB51DC"/>
    <w:rsid w:val="00BB66CC"/>
    <w:rsid w:val="00BC0420"/>
    <w:rsid w:val="00BC06C0"/>
    <w:rsid w:val="00BC197D"/>
    <w:rsid w:val="00BC79A3"/>
    <w:rsid w:val="00BD6813"/>
    <w:rsid w:val="00BD70C9"/>
    <w:rsid w:val="00BF1A63"/>
    <w:rsid w:val="00BF5A3B"/>
    <w:rsid w:val="00BF6129"/>
    <w:rsid w:val="00C01B4C"/>
    <w:rsid w:val="00C01D14"/>
    <w:rsid w:val="00C036AC"/>
    <w:rsid w:val="00C03843"/>
    <w:rsid w:val="00C065CB"/>
    <w:rsid w:val="00C07DC0"/>
    <w:rsid w:val="00C10CF2"/>
    <w:rsid w:val="00C11589"/>
    <w:rsid w:val="00C14B7A"/>
    <w:rsid w:val="00C155CD"/>
    <w:rsid w:val="00C1577B"/>
    <w:rsid w:val="00C16080"/>
    <w:rsid w:val="00C17037"/>
    <w:rsid w:val="00C1776D"/>
    <w:rsid w:val="00C17D1E"/>
    <w:rsid w:val="00C17F51"/>
    <w:rsid w:val="00C2404A"/>
    <w:rsid w:val="00C25596"/>
    <w:rsid w:val="00C25B75"/>
    <w:rsid w:val="00C30BE7"/>
    <w:rsid w:val="00C3301C"/>
    <w:rsid w:val="00C332D8"/>
    <w:rsid w:val="00C333C2"/>
    <w:rsid w:val="00C35DA0"/>
    <w:rsid w:val="00C408AF"/>
    <w:rsid w:val="00C44703"/>
    <w:rsid w:val="00C44F4A"/>
    <w:rsid w:val="00C471F3"/>
    <w:rsid w:val="00C52A94"/>
    <w:rsid w:val="00C56799"/>
    <w:rsid w:val="00C57CA4"/>
    <w:rsid w:val="00C57EAD"/>
    <w:rsid w:val="00C61C83"/>
    <w:rsid w:val="00C63E5D"/>
    <w:rsid w:val="00C70274"/>
    <w:rsid w:val="00C71FEF"/>
    <w:rsid w:val="00C73093"/>
    <w:rsid w:val="00C73720"/>
    <w:rsid w:val="00C77B2B"/>
    <w:rsid w:val="00C77DE0"/>
    <w:rsid w:val="00C8119A"/>
    <w:rsid w:val="00C81D94"/>
    <w:rsid w:val="00C830DA"/>
    <w:rsid w:val="00C8373F"/>
    <w:rsid w:val="00C86228"/>
    <w:rsid w:val="00C87D9E"/>
    <w:rsid w:val="00C92304"/>
    <w:rsid w:val="00C929C0"/>
    <w:rsid w:val="00C92FCF"/>
    <w:rsid w:val="00C9480A"/>
    <w:rsid w:val="00C95CA5"/>
    <w:rsid w:val="00CA1E71"/>
    <w:rsid w:val="00CA2677"/>
    <w:rsid w:val="00CA2F99"/>
    <w:rsid w:val="00CA4E6B"/>
    <w:rsid w:val="00CA4E8D"/>
    <w:rsid w:val="00CB2B0A"/>
    <w:rsid w:val="00CB47F4"/>
    <w:rsid w:val="00CB60D6"/>
    <w:rsid w:val="00CB6AD4"/>
    <w:rsid w:val="00CB6B5D"/>
    <w:rsid w:val="00CC3591"/>
    <w:rsid w:val="00CC64E7"/>
    <w:rsid w:val="00CC65E5"/>
    <w:rsid w:val="00CC7D95"/>
    <w:rsid w:val="00CD1130"/>
    <w:rsid w:val="00CD2F02"/>
    <w:rsid w:val="00CD50B6"/>
    <w:rsid w:val="00CD604B"/>
    <w:rsid w:val="00CD68E0"/>
    <w:rsid w:val="00CD6953"/>
    <w:rsid w:val="00CE02E5"/>
    <w:rsid w:val="00CE0954"/>
    <w:rsid w:val="00CE28E4"/>
    <w:rsid w:val="00CE2D7D"/>
    <w:rsid w:val="00CE385B"/>
    <w:rsid w:val="00CE3861"/>
    <w:rsid w:val="00CE693E"/>
    <w:rsid w:val="00CE7104"/>
    <w:rsid w:val="00CE7A66"/>
    <w:rsid w:val="00CF16D9"/>
    <w:rsid w:val="00CF37B0"/>
    <w:rsid w:val="00CF5F7D"/>
    <w:rsid w:val="00CF73B1"/>
    <w:rsid w:val="00CF78C3"/>
    <w:rsid w:val="00CF7D5E"/>
    <w:rsid w:val="00D00C09"/>
    <w:rsid w:val="00D030FE"/>
    <w:rsid w:val="00D04783"/>
    <w:rsid w:val="00D070F4"/>
    <w:rsid w:val="00D11039"/>
    <w:rsid w:val="00D136EF"/>
    <w:rsid w:val="00D13A2B"/>
    <w:rsid w:val="00D15836"/>
    <w:rsid w:val="00D17D9F"/>
    <w:rsid w:val="00D17E72"/>
    <w:rsid w:val="00D2291D"/>
    <w:rsid w:val="00D22D95"/>
    <w:rsid w:val="00D264AF"/>
    <w:rsid w:val="00D30527"/>
    <w:rsid w:val="00D31C79"/>
    <w:rsid w:val="00D324A2"/>
    <w:rsid w:val="00D34AE4"/>
    <w:rsid w:val="00D35FEE"/>
    <w:rsid w:val="00D41111"/>
    <w:rsid w:val="00D428A2"/>
    <w:rsid w:val="00D451D3"/>
    <w:rsid w:val="00D45A91"/>
    <w:rsid w:val="00D4719F"/>
    <w:rsid w:val="00D55EA4"/>
    <w:rsid w:val="00D7043F"/>
    <w:rsid w:val="00D7340D"/>
    <w:rsid w:val="00D76159"/>
    <w:rsid w:val="00D77589"/>
    <w:rsid w:val="00D80B02"/>
    <w:rsid w:val="00D80F02"/>
    <w:rsid w:val="00D81759"/>
    <w:rsid w:val="00D828FC"/>
    <w:rsid w:val="00D83BCA"/>
    <w:rsid w:val="00D83CC5"/>
    <w:rsid w:val="00D875EF"/>
    <w:rsid w:val="00D92989"/>
    <w:rsid w:val="00D937D4"/>
    <w:rsid w:val="00D93C60"/>
    <w:rsid w:val="00D96262"/>
    <w:rsid w:val="00D96DBB"/>
    <w:rsid w:val="00D97068"/>
    <w:rsid w:val="00DA4925"/>
    <w:rsid w:val="00DA6D88"/>
    <w:rsid w:val="00DB20E2"/>
    <w:rsid w:val="00DB360D"/>
    <w:rsid w:val="00DB43C8"/>
    <w:rsid w:val="00DB4767"/>
    <w:rsid w:val="00DB559A"/>
    <w:rsid w:val="00DB5D34"/>
    <w:rsid w:val="00DC0613"/>
    <w:rsid w:val="00DC36D7"/>
    <w:rsid w:val="00DC38F6"/>
    <w:rsid w:val="00DC43D0"/>
    <w:rsid w:val="00DC4A59"/>
    <w:rsid w:val="00DC4BE7"/>
    <w:rsid w:val="00DC5A2B"/>
    <w:rsid w:val="00DC7058"/>
    <w:rsid w:val="00DC7280"/>
    <w:rsid w:val="00DD5C3C"/>
    <w:rsid w:val="00DD6303"/>
    <w:rsid w:val="00DD78AF"/>
    <w:rsid w:val="00DE0D49"/>
    <w:rsid w:val="00DE0E77"/>
    <w:rsid w:val="00DE1C3B"/>
    <w:rsid w:val="00DE1C61"/>
    <w:rsid w:val="00DE6922"/>
    <w:rsid w:val="00DE7A5C"/>
    <w:rsid w:val="00DF1968"/>
    <w:rsid w:val="00DF249F"/>
    <w:rsid w:val="00DF454D"/>
    <w:rsid w:val="00DF58E2"/>
    <w:rsid w:val="00DF79C7"/>
    <w:rsid w:val="00E00F92"/>
    <w:rsid w:val="00E028FA"/>
    <w:rsid w:val="00E02CB9"/>
    <w:rsid w:val="00E03C6B"/>
    <w:rsid w:val="00E04BAA"/>
    <w:rsid w:val="00E0504E"/>
    <w:rsid w:val="00E071FE"/>
    <w:rsid w:val="00E0775C"/>
    <w:rsid w:val="00E1111E"/>
    <w:rsid w:val="00E11FB4"/>
    <w:rsid w:val="00E20811"/>
    <w:rsid w:val="00E248F4"/>
    <w:rsid w:val="00E316FC"/>
    <w:rsid w:val="00E31D0D"/>
    <w:rsid w:val="00E34B3C"/>
    <w:rsid w:val="00E35BCF"/>
    <w:rsid w:val="00E36149"/>
    <w:rsid w:val="00E36F5A"/>
    <w:rsid w:val="00E37100"/>
    <w:rsid w:val="00E37D33"/>
    <w:rsid w:val="00E4102C"/>
    <w:rsid w:val="00E44C6F"/>
    <w:rsid w:val="00E51893"/>
    <w:rsid w:val="00E52A11"/>
    <w:rsid w:val="00E5644C"/>
    <w:rsid w:val="00E571DB"/>
    <w:rsid w:val="00E61C1D"/>
    <w:rsid w:val="00E644FA"/>
    <w:rsid w:val="00E64DDC"/>
    <w:rsid w:val="00E64F3F"/>
    <w:rsid w:val="00E737AE"/>
    <w:rsid w:val="00E75B26"/>
    <w:rsid w:val="00E86BDD"/>
    <w:rsid w:val="00E904F3"/>
    <w:rsid w:val="00E91C5C"/>
    <w:rsid w:val="00E91DC6"/>
    <w:rsid w:val="00E91E48"/>
    <w:rsid w:val="00E93B6D"/>
    <w:rsid w:val="00EA5192"/>
    <w:rsid w:val="00EA693B"/>
    <w:rsid w:val="00EB0542"/>
    <w:rsid w:val="00EB1629"/>
    <w:rsid w:val="00EB3088"/>
    <w:rsid w:val="00EB382C"/>
    <w:rsid w:val="00EB396F"/>
    <w:rsid w:val="00EB3CD7"/>
    <w:rsid w:val="00EB57EF"/>
    <w:rsid w:val="00EB7011"/>
    <w:rsid w:val="00EC1CE6"/>
    <w:rsid w:val="00ED1B7E"/>
    <w:rsid w:val="00ED2F51"/>
    <w:rsid w:val="00ED50D9"/>
    <w:rsid w:val="00ED5F6E"/>
    <w:rsid w:val="00ED6F46"/>
    <w:rsid w:val="00EE0067"/>
    <w:rsid w:val="00EE28B4"/>
    <w:rsid w:val="00EE3808"/>
    <w:rsid w:val="00EE4175"/>
    <w:rsid w:val="00EE6AF0"/>
    <w:rsid w:val="00EF1CAC"/>
    <w:rsid w:val="00EF34B7"/>
    <w:rsid w:val="00EF374F"/>
    <w:rsid w:val="00EF4615"/>
    <w:rsid w:val="00EF4951"/>
    <w:rsid w:val="00EF6D8A"/>
    <w:rsid w:val="00EF7D4E"/>
    <w:rsid w:val="00F0042A"/>
    <w:rsid w:val="00F03B64"/>
    <w:rsid w:val="00F04A8B"/>
    <w:rsid w:val="00F05F35"/>
    <w:rsid w:val="00F11655"/>
    <w:rsid w:val="00F117C1"/>
    <w:rsid w:val="00F11F81"/>
    <w:rsid w:val="00F12486"/>
    <w:rsid w:val="00F12FCF"/>
    <w:rsid w:val="00F15B06"/>
    <w:rsid w:val="00F15B3F"/>
    <w:rsid w:val="00F22F32"/>
    <w:rsid w:val="00F3038D"/>
    <w:rsid w:val="00F31659"/>
    <w:rsid w:val="00F33B52"/>
    <w:rsid w:val="00F34F4A"/>
    <w:rsid w:val="00F36348"/>
    <w:rsid w:val="00F418F9"/>
    <w:rsid w:val="00F42167"/>
    <w:rsid w:val="00F429D6"/>
    <w:rsid w:val="00F430B6"/>
    <w:rsid w:val="00F43CBD"/>
    <w:rsid w:val="00F44432"/>
    <w:rsid w:val="00F45968"/>
    <w:rsid w:val="00F47577"/>
    <w:rsid w:val="00F50088"/>
    <w:rsid w:val="00F53140"/>
    <w:rsid w:val="00F55922"/>
    <w:rsid w:val="00F56D55"/>
    <w:rsid w:val="00F57CC9"/>
    <w:rsid w:val="00F602D4"/>
    <w:rsid w:val="00F6238E"/>
    <w:rsid w:val="00F62E82"/>
    <w:rsid w:val="00F67E38"/>
    <w:rsid w:val="00F71F80"/>
    <w:rsid w:val="00F726C2"/>
    <w:rsid w:val="00F73406"/>
    <w:rsid w:val="00F74770"/>
    <w:rsid w:val="00F80B09"/>
    <w:rsid w:val="00F81529"/>
    <w:rsid w:val="00F82E2A"/>
    <w:rsid w:val="00F8318D"/>
    <w:rsid w:val="00F83E81"/>
    <w:rsid w:val="00F83F02"/>
    <w:rsid w:val="00F85A70"/>
    <w:rsid w:val="00F87D8F"/>
    <w:rsid w:val="00F90565"/>
    <w:rsid w:val="00F913BD"/>
    <w:rsid w:val="00F926BD"/>
    <w:rsid w:val="00F9332A"/>
    <w:rsid w:val="00FA190F"/>
    <w:rsid w:val="00FA1B71"/>
    <w:rsid w:val="00FA6653"/>
    <w:rsid w:val="00FA7795"/>
    <w:rsid w:val="00FB25B0"/>
    <w:rsid w:val="00FB64C5"/>
    <w:rsid w:val="00FB678A"/>
    <w:rsid w:val="00FB685A"/>
    <w:rsid w:val="00FB6F08"/>
    <w:rsid w:val="00FB7B77"/>
    <w:rsid w:val="00FC2480"/>
    <w:rsid w:val="00FC3727"/>
    <w:rsid w:val="00FD56A4"/>
    <w:rsid w:val="00FE0CB8"/>
    <w:rsid w:val="00FE2AB9"/>
    <w:rsid w:val="00FE33DF"/>
    <w:rsid w:val="00FE698E"/>
    <w:rsid w:val="00FF02AE"/>
    <w:rsid w:val="00FF4109"/>
    <w:rsid w:val="00FF418B"/>
    <w:rsid w:val="00FF7F69"/>
    <w:rsid w:val="024C53B5"/>
    <w:rsid w:val="0B8A8FD3"/>
    <w:rsid w:val="0CF4603A"/>
    <w:rsid w:val="0D19E4C5"/>
    <w:rsid w:val="0E0668E7"/>
    <w:rsid w:val="0E13C49F"/>
    <w:rsid w:val="14B9771F"/>
    <w:rsid w:val="15AB6B76"/>
    <w:rsid w:val="1B568D63"/>
    <w:rsid w:val="1B6D79CE"/>
    <w:rsid w:val="1C06909A"/>
    <w:rsid w:val="200653A4"/>
    <w:rsid w:val="21E2DFBD"/>
    <w:rsid w:val="2CF1EABA"/>
    <w:rsid w:val="2D83103F"/>
    <w:rsid w:val="2DB307A1"/>
    <w:rsid w:val="2FD82FA5"/>
    <w:rsid w:val="32C64EE9"/>
    <w:rsid w:val="38F84E96"/>
    <w:rsid w:val="3AE052F6"/>
    <w:rsid w:val="3E146BAB"/>
    <w:rsid w:val="42F2812E"/>
    <w:rsid w:val="4FBCFD76"/>
    <w:rsid w:val="5428745C"/>
    <w:rsid w:val="547F664F"/>
    <w:rsid w:val="5CC39424"/>
    <w:rsid w:val="604ED3E4"/>
    <w:rsid w:val="6197215F"/>
    <w:rsid w:val="62057FBF"/>
    <w:rsid w:val="66331B66"/>
    <w:rsid w:val="6D33F791"/>
    <w:rsid w:val="77B71960"/>
    <w:rsid w:val="7848512D"/>
    <w:rsid w:val="7EC0A4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0F51FC"/>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numbering" w:customStyle="1" w:styleId="NoList1">
    <w:name w:val="No List1"/>
    <w:next w:val="NoList"/>
    <w:uiPriority w:val="99"/>
    <w:semiHidden/>
    <w:unhideWhenUsed/>
    <w:rsid w:val="000F51FC"/>
  </w:style>
  <w:style w:type="character" w:customStyle="1" w:styleId="Heading1Char">
    <w:name w:val="Heading 1 Char"/>
    <w:basedOn w:val="DefaultParagraphFont"/>
    <w:link w:val="Heading1"/>
    <w:uiPriority w:val="9"/>
    <w:rsid w:val="000F51FC"/>
    <w:rPr>
      <w:b/>
      <w:smallCaps/>
    </w:rPr>
  </w:style>
  <w:style w:type="character" w:customStyle="1" w:styleId="Heading2Char">
    <w:name w:val="Heading 2 Char"/>
    <w:basedOn w:val="DefaultParagraphFont"/>
    <w:link w:val="Heading2"/>
    <w:uiPriority w:val="9"/>
    <w:rsid w:val="000F51FC"/>
    <w:rPr>
      <w:b/>
    </w:rPr>
  </w:style>
  <w:style w:type="paragraph" w:customStyle="1" w:styleId="Heading31">
    <w:name w:val="Heading 31"/>
    <w:basedOn w:val="Normal"/>
    <w:next w:val="Normal"/>
    <w:uiPriority w:val="9"/>
    <w:semiHidden/>
    <w:unhideWhenUsed/>
    <w:qFormat/>
    <w:rsid w:val="000F51FC"/>
    <w:pPr>
      <w:keepNext/>
      <w:keepLines/>
      <w:spacing w:before="40" w:after="0"/>
      <w:outlineLvl w:val="2"/>
    </w:pPr>
    <w:rPr>
      <w:rFonts w:ascii="Calibri Light" w:hAnsi="Calibri Light"/>
      <w:color w:val="1F4D78"/>
      <w:szCs w:val="24"/>
      <w:lang w:val="en-US" w:eastAsia="en-US"/>
    </w:rPr>
  </w:style>
  <w:style w:type="paragraph" w:customStyle="1" w:styleId="Heading41">
    <w:name w:val="Heading 41"/>
    <w:basedOn w:val="Normal"/>
    <w:next w:val="Normal"/>
    <w:uiPriority w:val="9"/>
    <w:semiHidden/>
    <w:unhideWhenUsed/>
    <w:qFormat/>
    <w:rsid w:val="000F51FC"/>
    <w:pPr>
      <w:keepNext/>
      <w:keepLines/>
      <w:spacing w:before="40" w:after="0"/>
      <w:outlineLvl w:val="3"/>
    </w:pPr>
    <w:rPr>
      <w:rFonts w:ascii="Calibri Light" w:hAnsi="Calibri Light"/>
      <w:i/>
      <w:iCs/>
      <w:color w:val="2E74B5"/>
      <w:szCs w:val="22"/>
      <w:lang w:val="en-US" w:eastAsia="en-US"/>
    </w:rPr>
  </w:style>
  <w:style w:type="paragraph" w:customStyle="1" w:styleId="Heading51">
    <w:name w:val="Heading 51"/>
    <w:basedOn w:val="Normal"/>
    <w:next w:val="Normal"/>
    <w:uiPriority w:val="9"/>
    <w:semiHidden/>
    <w:unhideWhenUsed/>
    <w:qFormat/>
    <w:rsid w:val="000F51FC"/>
    <w:pPr>
      <w:keepNext/>
      <w:keepLines/>
      <w:spacing w:before="40" w:after="0"/>
      <w:outlineLvl w:val="4"/>
    </w:pPr>
    <w:rPr>
      <w:rFonts w:ascii="Calibri Light" w:hAnsi="Calibri Light"/>
      <w:color w:val="2E74B5"/>
      <w:szCs w:val="22"/>
      <w:lang w:val="en-US" w:eastAsia="en-US"/>
    </w:rPr>
  </w:style>
  <w:style w:type="paragraph" w:customStyle="1" w:styleId="Heading61">
    <w:name w:val="Heading 61"/>
    <w:basedOn w:val="Normal"/>
    <w:next w:val="Normal"/>
    <w:uiPriority w:val="9"/>
    <w:semiHidden/>
    <w:unhideWhenUsed/>
    <w:qFormat/>
    <w:rsid w:val="000F51FC"/>
    <w:pPr>
      <w:keepNext/>
      <w:keepLines/>
      <w:spacing w:before="40" w:after="0"/>
      <w:outlineLvl w:val="5"/>
    </w:pPr>
    <w:rPr>
      <w:rFonts w:ascii="Calibri Light" w:hAnsi="Calibri Light"/>
      <w:color w:val="1F4D78"/>
      <w:szCs w:val="22"/>
      <w:lang w:val="en-US" w:eastAsia="en-US"/>
    </w:rPr>
  </w:style>
  <w:style w:type="paragraph" w:customStyle="1" w:styleId="Heading71">
    <w:name w:val="Heading 71"/>
    <w:basedOn w:val="Normal"/>
    <w:next w:val="Normal"/>
    <w:uiPriority w:val="9"/>
    <w:semiHidden/>
    <w:unhideWhenUsed/>
    <w:qFormat/>
    <w:rsid w:val="000F51FC"/>
    <w:pPr>
      <w:keepNext/>
      <w:keepLines/>
      <w:spacing w:before="40" w:after="0"/>
      <w:outlineLvl w:val="6"/>
    </w:pPr>
    <w:rPr>
      <w:rFonts w:ascii="Calibri Light" w:hAnsi="Calibri Light"/>
      <w:i/>
      <w:iCs/>
      <w:color w:val="1F4D78"/>
      <w:szCs w:val="22"/>
      <w:lang w:val="en-US" w:eastAsia="en-US"/>
    </w:rPr>
  </w:style>
  <w:style w:type="paragraph" w:customStyle="1" w:styleId="Heading81">
    <w:name w:val="Heading 81"/>
    <w:basedOn w:val="Normal"/>
    <w:next w:val="Normal"/>
    <w:uiPriority w:val="9"/>
    <w:semiHidden/>
    <w:unhideWhenUsed/>
    <w:qFormat/>
    <w:rsid w:val="000F51FC"/>
    <w:pPr>
      <w:keepNext/>
      <w:keepLines/>
      <w:spacing w:before="40" w:after="0"/>
      <w:outlineLvl w:val="7"/>
    </w:pPr>
    <w:rPr>
      <w:rFonts w:ascii="Calibri Light" w:hAnsi="Calibri Light"/>
      <w:color w:val="272727"/>
      <w:sz w:val="21"/>
      <w:szCs w:val="21"/>
      <w:lang w:val="en-US" w:eastAsia="en-US"/>
    </w:rPr>
  </w:style>
  <w:style w:type="paragraph" w:customStyle="1" w:styleId="Heading91">
    <w:name w:val="Heading 91"/>
    <w:basedOn w:val="Normal"/>
    <w:next w:val="Normal"/>
    <w:uiPriority w:val="9"/>
    <w:semiHidden/>
    <w:unhideWhenUsed/>
    <w:qFormat/>
    <w:rsid w:val="000F51FC"/>
    <w:pPr>
      <w:keepNext/>
      <w:keepLines/>
      <w:spacing w:before="40" w:after="0"/>
      <w:outlineLvl w:val="8"/>
    </w:pPr>
    <w:rPr>
      <w:rFonts w:ascii="Calibri Light" w:hAnsi="Calibri Light"/>
      <w:i/>
      <w:iCs/>
      <w:color w:val="272727"/>
      <w:sz w:val="21"/>
      <w:szCs w:val="21"/>
      <w:lang w:val="en-US" w:eastAsia="en-US"/>
    </w:rPr>
  </w:style>
  <w:style w:type="numbering" w:customStyle="1" w:styleId="NoList11">
    <w:name w:val="No List11"/>
    <w:next w:val="NoList"/>
    <w:uiPriority w:val="99"/>
    <w:semiHidden/>
    <w:unhideWhenUsed/>
    <w:rsid w:val="000F51FC"/>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0F51FC"/>
    <w:rPr>
      <w:sz w:val="20"/>
    </w:rPr>
  </w:style>
  <w:style w:type="character" w:customStyle="1" w:styleId="CommentReference1">
    <w:name w:val="Comment Reference1"/>
    <w:basedOn w:val="DefaultParagraphFont"/>
    <w:uiPriority w:val="99"/>
    <w:semiHidden/>
    <w:unhideWhenUsed/>
    <w:rsid w:val="000F51FC"/>
    <w:rPr>
      <w:sz w:val="16"/>
      <w:szCs w:val="16"/>
    </w:rPr>
  </w:style>
  <w:style w:type="paragraph" w:customStyle="1" w:styleId="CommentText1">
    <w:name w:val="Comment Text1"/>
    <w:basedOn w:val="Normal"/>
    <w:link w:val="CommentTextChar"/>
    <w:uiPriority w:val="99"/>
    <w:unhideWhenUsed/>
    <w:rsid w:val="000F51FC"/>
    <w:rPr>
      <w:rFonts w:eastAsia="Calibri" w:cs="Arial"/>
      <w:sz w:val="20"/>
      <w:lang w:val="en-US" w:eastAsia="en-US"/>
    </w:rPr>
  </w:style>
  <w:style w:type="character" w:customStyle="1" w:styleId="CommentTextChar">
    <w:name w:val="Comment Text Char"/>
    <w:basedOn w:val="DefaultParagraphFont"/>
    <w:link w:val="CommentText1"/>
    <w:uiPriority w:val="99"/>
    <w:rsid w:val="000F51FC"/>
    <w:rPr>
      <w:rFonts w:eastAsia="Calibri" w:cs="Arial"/>
      <w:sz w:val="20"/>
      <w:lang w:val="en-US"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fr,ftre"/>
    <w:basedOn w:val="DefaultParagraphFont"/>
    <w:link w:val="ftrefCharCharCharCharCharCharCharCharChar"/>
    <w:uiPriority w:val="99"/>
    <w:unhideWhenUsed/>
    <w:qFormat/>
    <w:locked/>
    <w:rsid w:val="000F51FC"/>
    <w:rPr>
      <w:vertAlign w:val="superscript"/>
    </w:rPr>
  </w:style>
  <w:style w:type="paragraph" w:customStyle="1" w:styleId="Title1">
    <w:name w:val="Title1"/>
    <w:basedOn w:val="Normal"/>
    <w:next w:val="Normal"/>
    <w:uiPriority w:val="10"/>
    <w:qFormat/>
    <w:rsid w:val="000F51FC"/>
    <w:pPr>
      <w:spacing w:after="0"/>
      <w:contextualSpacing/>
    </w:pPr>
    <w:rPr>
      <w:rFonts w:ascii="Calibri Light" w:hAnsi="Calibri Light"/>
      <w:spacing w:val="-10"/>
      <w:kern w:val="28"/>
      <w:sz w:val="56"/>
      <w:szCs w:val="56"/>
      <w:lang w:val="en-US" w:eastAsia="en-US"/>
    </w:rPr>
  </w:style>
  <w:style w:type="character" w:customStyle="1" w:styleId="TitleChar">
    <w:name w:val="Title Char"/>
    <w:basedOn w:val="DefaultParagraphFont"/>
    <w:link w:val="Title"/>
    <w:uiPriority w:val="10"/>
    <w:rsid w:val="000F51FC"/>
    <w:rPr>
      <w:b/>
      <w:kern w:val="28"/>
      <w:sz w:val="48"/>
    </w:rPr>
  </w:style>
  <w:style w:type="table" w:customStyle="1" w:styleId="GridTable7Colorful-Accent61">
    <w:name w:val="Grid Table 7 Colorful - Accent 61"/>
    <w:basedOn w:val="TableNormal"/>
    <w:next w:val="GridTable7Colorful-Accent6"/>
    <w:uiPriority w:val="52"/>
    <w:rsid w:val="000F51FC"/>
    <w:rPr>
      <w:rFonts w:ascii="Aptos" w:eastAsia="Calibri" w:hAnsi="Aptos" w:cs="Arial"/>
      <w:color w:val="538135"/>
      <w:sz w:val="22"/>
      <w:szCs w:val="22"/>
      <w:lang w:val="en-US"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Heading3Char">
    <w:name w:val="Heading 3 Char"/>
    <w:basedOn w:val="DefaultParagraphFont"/>
    <w:link w:val="Heading3"/>
    <w:uiPriority w:val="9"/>
    <w:rsid w:val="000F51FC"/>
    <w:rPr>
      <w:i/>
    </w:rPr>
  </w:style>
  <w:style w:type="character" w:customStyle="1" w:styleId="Heading4Char">
    <w:name w:val="Heading 4 Char"/>
    <w:basedOn w:val="DefaultParagraphFont"/>
    <w:link w:val="Heading4"/>
    <w:uiPriority w:val="9"/>
    <w:rsid w:val="000F51FC"/>
  </w:style>
  <w:style w:type="character" w:customStyle="1" w:styleId="Heading5Char">
    <w:name w:val="Heading 5 Char"/>
    <w:basedOn w:val="DefaultParagraphFont"/>
    <w:link w:val="Heading5"/>
    <w:uiPriority w:val="9"/>
    <w:semiHidden/>
    <w:rsid w:val="000F51FC"/>
  </w:style>
  <w:style w:type="character" w:customStyle="1" w:styleId="Heading6Char">
    <w:name w:val="Heading 6 Char"/>
    <w:basedOn w:val="DefaultParagraphFont"/>
    <w:link w:val="Heading6"/>
    <w:uiPriority w:val="9"/>
    <w:semiHidden/>
    <w:rsid w:val="000F51FC"/>
  </w:style>
  <w:style w:type="character" w:customStyle="1" w:styleId="Heading7Char">
    <w:name w:val="Heading 7 Char"/>
    <w:basedOn w:val="DefaultParagraphFont"/>
    <w:link w:val="Heading7"/>
    <w:uiPriority w:val="9"/>
    <w:semiHidden/>
    <w:rsid w:val="000F51FC"/>
  </w:style>
  <w:style w:type="character" w:customStyle="1" w:styleId="Heading8Char">
    <w:name w:val="Heading 8 Char"/>
    <w:basedOn w:val="DefaultParagraphFont"/>
    <w:link w:val="Heading8"/>
    <w:uiPriority w:val="9"/>
    <w:semiHidden/>
    <w:rsid w:val="000F51FC"/>
  </w:style>
  <w:style w:type="character" w:customStyle="1" w:styleId="Heading9Char">
    <w:name w:val="Heading 9 Char"/>
    <w:basedOn w:val="DefaultParagraphFont"/>
    <w:link w:val="Heading9"/>
    <w:uiPriority w:val="9"/>
    <w:semiHidden/>
    <w:rsid w:val="000F51FC"/>
  </w:style>
  <w:style w:type="paragraph" w:customStyle="1" w:styleId="FootnoteRoLReport">
    <w:name w:val="Footnote RoL Report"/>
    <w:basedOn w:val="FootnoteText"/>
    <w:link w:val="FootnoteRoLReportChar"/>
    <w:autoRedefine/>
    <w:qFormat/>
    <w:rsid w:val="000F51FC"/>
    <w:pPr>
      <w:ind w:left="284" w:hanging="284"/>
      <w:outlineLvl w:val="0"/>
    </w:pPr>
    <w:rPr>
      <w:rFonts w:eastAsia="Calibri" w:cs="Arial"/>
      <w:lang w:val="en-US" w:eastAsia="en-US"/>
    </w:rPr>
  </w:style>
  <w:style w:type="character" w:customStyle="1" w:styleId="FootnoteRoLReportChar">
    <w:name w:val="Footnote RoL Report Char"/>
    <w:basedOn w:val="FootnoteTextChar"/>
    <w:link w:val="FootnoteRoLReport"/>
    <w:rsid w:val="000F51FC"/>
    <w:rPr>
      <w:rFonts w:eastAsia="Calibri" w:cs="Arial"/>
      <w:sz w:val="20"/>
      <w:lang w:val="en-US" w:eastAsia="en-US"/>
    </w:rPr>
  </w:style>
  <w:style w:type="paragraph" w:styleId="ListParagraph">
    <w:name w:val="List Paragraph"/>
    <w:basedOn w:val="Normal"/>
    <w:uiPriority w:val="34"/>
    <w:qFormat/>
    <w:locked/>
    <w:rsid w:val="000F51FC"/>
    <w:pPr>
      <w:ind w:left="720"/>
      <w:contextualSpacing/>
    </w:pPr>
    <w:rPr>
      <w:rFonts w:eastAsia="Calibri" w:cs="Arial"/>
      <w:szCs w:val="22"/>
      <w:lang w:val="en-US" w:eastAsia="en-U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0F51FC"/>
    <w:pPr>
      <w:spacing w:after="160" w:line="240" w:lineRule="exact"/>
    </w:pPr>
    <w:rPr>
      <w:vertAlign w:val="superscript"/>
    </w:rPr>
  </w:style>
  <w:style w:type="character" w:customStyle="1" w:styleId="Hyperlink1">
    <w:name w:val="Hyperlink1"/>
    <w:basedOn w:val="DefaultParagraphFont"/>
    <w:uiPriority w:val="99"/>
    <w:unhideWhenUsed/>
    <w:rsid w:val="000F51FC"/>
    <w:rPr>
      <w:color w:val="0563C1"/>
      <w:u w:val="single"/>
    </w:rPr>
  </w:style>
  <w:style w:type="paragraph" w:styleId="Revision">
    <w:name w:val="Revision"/>
    <w:hidden/>
    <w:uiPriority w:val="99"/>
    <w:semiHidden/>
    <w:locked/>
    <w:rsid w:val="000F51FC"/>
    <w:rPr>
      <w:rFonts w:eastAsia="Calibri" w:cs="Arial"/>
      <w:szCs w:val="22"/>
      <w:lang w:val="en-US" w:eastAsia="en-US"/>
    </w:rPr>
  </w:style>
  <w:style w:type="paragraph" w:customStyle="1" w:styleId="CommentSubject1">
    <w:name w:val="Comment Subject1"/>
    <w:basedOn w:val="CommentText1"/>
    <w:next w:val="CommentText1"/>
    <w:link w:val="CommentSubjectChar"/>
    <w:uiPriority w:val="99"/>
    <w:semiHidden/>
    <w:unhideWhenUsed/>
    <w:rsid w:val="000F51FC"/>
    <w:rPr>
      <w:b/>
      <w:bCs/>
    </w:rPr>
  </w:style>
  <w:style w:type="character" w:customStyle="1" w:styleId="CommentSubjectChar">
    <w:name w:val="Comment Subject Char"/>
    <w:basedOn w:val="CommentTextChar"/>
    <w:link w:val="CommentSubject1"/>
    <w:uiPriority w:val="99"/>
    <w:semiHidden/>
    <w:rsid w:val="000F51FC"/>
    <w:rPr>
      <w:rFonts w:eastAsia="Calibri" w:cs="Arial"/>
      <w:b/>
      <w:bCs/>
      <w:sz w:val="20"/>
      <w:lang w:val="en-US" w:eastAsia="en-US"/>
    </w:rPr>
  </w:style>
  <w:style w:type="character" w:customStyle="1" w:styleId="FollowedHyperlink1">
    <w:name w:val="FollowedHyperlink1"/>
    <w:basedOn w:val="DefaultParagraphFont"/>
    <w:uiPriority w:val="99"/>
    <w:semiHidden/>
    <w:unhideWhenUsed/>
    <w:rsid w:val="000F51FC"/>
    <w:rPr>
      <w:color w:val="954F72"/>
      <w:u w:val="single"/>
    </w:rPr>
  </w:style>
  <w:style w:type="character" w:customStyle="1" w:styleId="UnresolvedMention">
    <w:name w:val="Unresolved Mention"/>
    <w:basedOn w:val="DefaultParagraphFont"/>
    <w:uiPriority w:val="99"/>
    <w:semiHidden/>
    <w:unhideWhenUsed/>
    <w:rsid w:val="000F51FC"/>
    <w:rPr>
      <w:color w:val="605E5C"/>
      <w:shd w:val="clear" w:color="auto" w:fill="E1DFDD"/>
    </w:rPr>
  </w:style>
  <w:style w:type="character" w:customStyle="1" w:styleId="Mention">
    <w:name w:val="Mention"/>
    <w:basedOn w:val="DefaultParagraphFont"/>
    <w:uiPriority w:val="99"/>
    <w:unhideWhenUsed/>
    <w:rsid w:val="000F51FC"/>
    <w:rPr>
      <w:color w:val="2B579A"/>
      <w:shd w:val="clear" w:color="auto" w:fill="E1DFDD"/>
    </w:rPr>
  </w:style>
  <w:style w:type="character" w:customStyle="1" w:styleId="TitleChar1">
    <w:name w:val="Title Char1"/>
    <w:basedOn w:val="DefaultParagraphFont"/>
    <w:uiPriority w:val="10"/>
    <w:rsid w:val="000F51FC"/>
    <w:rPr>
      <w:rFonts w:ascii="Aptos Display" w:eastAsia="MS Gothic" w:hAnsi="Aptos Display" w:cs="Times New Roman"/>
      <w:spacing w:val="-10"/>
      <w:kern w:val="28"/>
      <w:sz w:val="56"/>
      <w:szCs w:val="56"/>
    </w:rPr>
  </w:style>
  <w:style w:type="table" w:customStyle="1" w:styleId="GridTable7Colorful-Accent62">
    <w:name w:val="Grid Table 7 Colorful - Accent 62"/>
    <w:basedOn w:val="TableNormal"/>
    <w:next w:val="GridTable7Colorful-Accent6"/>
    <w:uiPriority w:val="52"/>
    <w:rsid w:val="000F51FC"/>
    <w:rPr>
      <w:rFonts w:ascii="Aptos" w:eastAsia="MS Mincho" w:hAnsi="Aptos" w:cs="Arial"/>
      <w:color w:val="3A7C22"/>
      <w:szCs w:val="24"/>
      <w:lang w:val="en-US" w:eastAsia="ja-JP"/>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character" w:customStyle="1" w:styleId="Heading3Char1">
    <w:name w:val="Heading 3 Char1"/>
    <w:basedOn w:val="DefaultParagraphFont"/>
    <w:uiPriority w:val="9"/>
    <w:semiHidden/>
    <w:rsid w:val="000F51FC"/>
    <w:rPr>
      <w:rFonts w:ascii="Aptos Display" w:eastAsia="MS Gothic" w:hAnsi="Aptos Display" w:cs="Times New Roman"/>
      <w:color w:val="0A2F40"/>
    </w:rPr>
  </w:style>
  <w:style w:type="character" w:customStyle="1" w:styleId="Heading4Char1">
    <w:name w:val="Heading 4 Char1"/>
    <w:basedOn w:val="DefaultParagraphFont"/>
    <w:uiPriority w:val="9"/>
    <w:semiHidden/>
    <w:rsid w:val="000F51FC"/>
    <w:rPr>
      <w:rFonts w:ascii="Aptos Display" w:eastAsia="MS Gothic" w:hAnsi="Aptos Display" w:cs="Times New Roman"/>
      <w:i/>
      <w:iCs/>
      <w:color w:val="0F4761"/>
    </w:rPr>
  </w:style>
  <w:style w:type="character" w:customStyle="1" w:styleId="Heading5Char1">
    <w:name w:val="Heading 5 Char1"/>
    <w:basedOn w:val="DefaultParagraphFont"/>
    <w:uiPriority w:val="9"/>
    <w:semiHidden/>
    <w:rsid w:val="000F51FC"/>
    <w:rPr>
      <w:rFonts w:ascii="Aptos Display" w:eastAsia="MS Gothic" w:hAnsi="Aptos Display" w:cs="Times New Roman"/>
      <w:color w:val="0F4761"/>
    </w:rPr>
  </w:style>
  <w:style w:type="character" w:customStyle="1" w:styleId="Heading6Char1">
    <w:name w:val="Heading 6 Char1"/>
    <w:basedOn w:val="DefaultParagraphFont"/>
    <w:uiPriority w:val="9"/>
    <w:semiHidden/>
    <w:rsid w:val="000F51FC"/>
    <w:rPr>
      <w:rFonts w:ascii="Aptos Display" w:eastAsia="MS Gothic" w:hAnsi="Aptos Display" w:cs="Times New Roman"/>
      <w:color w:val="0A2F40"/>
    </w:rPr>
  </w:style>
  <w:style w:type="character" w:customStyle="1" w:styleId="Heading7Char1">
    <w:name w:val="Heading 7 Char1"/>
    <w:basedOn w:val="DefaultParagraphFont"/>
    <w:uiPriority w:val="9"/>
    <w:semiHidden/>
    <w:rsid w:val="000F51FC"/>
    <w:rPr>
      <w:rFonts w:ascii="Aptos Display" w:eastAsia="MS Gothic" w:hAnsi="Aptos Display" w:cs="Times New Roman"/>
      <w:i/>
      <w:iCs/>
      <w:color w:val="0A2F40"/>
    </w:rPr>
  </w:style>
  <w:style w:type="character" w:customStyle="1" w:styleId="Heading8Char1">
    <w:name w:val="Heading 8 Char1"/>
    <w:basedOn w:val="DefaultParagraphFont"/>
    <w:uiPriority w:val="9"/>
    <w:semiHidden/>
    <w:rsid w:val="000F51FC"/>
    <w:rPr>
      <w:rFonts w:ascii="Aptos Display" w:eastAsia="MS Gothic" w:hAnsi="Aptos Display" w:cs="Times New Roman"/>
      <w:color w:val="272727"/>
      <w:sz w:val="21"/>
      <w:szCs w:val="21"/>
    </w:rPr>
  </w:style>
  <w:style w:type="character" w:customStyle="1" w:styleId="Heading9Char1">
    <w:name w:val="Heading 9 Char1"/>
    <w:basedOn w:val="DefaultParagraphFont"/>
    <w:uiPriority w:val="9"/>
    <w:semiHidden/>
    <w:rsid w:val="000F51FC"/>
    <w:rPr>
      <w:rFonts w:ascii="Aptos Display" w:eastAsia="MS Gothic" w:hAnsi="Aptos Display" w:cs="Times New Roman"/>
      <w:i/>
      <w:iCs/>
      <w:color w:val="272727"/>
      <w:sz w:val="21"/>
      <w:szCs w:val="21"/>
    </w:rPr>
  </w:style>
  <w:style w:type="character" w:customStyle="1" w:styleId="Hyperlink2">
    <w:name w:val="Hyperlink2"/>
    <w:basedOn w:val="DefaultParagraphFont"/>
    <w:uiPriority w:val="99"/>
    <w:unhideWhenUsed/>
    <w:rsid w:val="000F51FC"/>
    <w:rPr>
      <w:color w:val="467886"/>
      <w:u w:val="single"/>
    </w:rPr>
  </w:style>
  <w:style w:type="character" w:customStyle="1" w:styleId="FollowedHyperlink2">
    <w:name w:val="FollowedHyperlink2"/>
    <w:basedOn w:val="DefaultParagraphFont"/>
    <w:uiPriority w:val="99"/>
    <w:semiHidden/>
    <w:unhideWhenUsed/>
    <w:rsid w:val="000F51FC"/>
    <w:rPr>
      <w:color w:val="96607D"/>
      <w:u w:val="single"/>
    </w:rPr>
  </w:style>
  <w:style w:type="paragraph" w:styleId="CommentText">
    <w:name w:val="annotation text"/>
    <w:basedOn w:val="Normal"/>
    <w:link w:val="CommentTextChar1"/>
    <w:uiPriority w:val="99"/>
    <w:unhideWhenUsed/>
    <w:locked/>
    <w:rsid w:val="000F51FC"/>
    <w:pPr>
      <w:spacing w:after="160"/>
      <w:jc w:val="left"/>
    </w:pPr>
    <w:rPr>
      <w:rFonts w:ascii="Aptos" w:eastAsia="MS Mincho" w:hAnsi="Aptos" w:cs="Arial"/>
      <w:sz w:val="20"/>
      <w:lang w:val="en-US" w:eastAsia="ja-JP"/>
    </w:rPr>
  </w:style>
  <w:style w:type="character" w:customStyle="1" w:styleId="CommentTextChar1">
    <w:name w:val="Comment Text Char1"/>
    <w:basedOn w:val="DefaultParagraphFont"/>
    <w:link w:val="CommentText"/>
    <w:uiPriority w:val="99"/>
    <w:rsid w:val="000F51FC"/>
    <w:rPr>
      <w:rFonts w:ascii="Aptos" w:eastAsia="MS Mincho" w:hAnsi="Aptos" w:cs="Arial"/>
      <w:sz w:val="20"/>
      <w:lang w:val="en-US" w:eastAsia="ja-JP"/>
    </w:rPr>
  </w:style>
  <w:style w:type="character" w:styleId="CommentReference">
    <w:name w:val="annotation reference"/>
    <w:basedOn w:val="DefaultParagraphFont"/>
    <w:uiPriority w:val="99"/>
    <w:semiHidden/>
    <w:unhideWhenUsed/>
    <w:locked/>
    <w:rsid w:val="000F51FC"/>
    <w:rPr>
      <w:sz w:val="16"/>
      <w:szCs w:val="16"/>
    </w:rPr>
  </w:style>
  <w:style w:type="paragraph" w:styleId="CommentSubject">
    <w:name w:val="annotation subject"/>
    <w:basedOn w:val="CommentText"/>
    <w:next w:val="CommentText"/>
    <w:link w:val="CommentSubjectChar1"/>
    <w:uiPriority w:val="99"/>
    <w:semiHidden/>
    <w:unhideWhenUsed/>
    <w:locked/>
    <w:rsid w:val="000F51FC"/>
    <w:rPr>
      <w:b/>
      <w:bCs/>
    </w:rPr>
  </w:style>
  <w:style w:type="character" w:customStyle="1" w:styleId="CommentSubjectChar1">
    <w:name w:val="Comment Subject Char1"/>
    <w:basedOn w:val="CommentTextChar1"/>
    <w:link w:val="CommentSubject"/>
    <w:uiPriority w:val="99"/>
    <w:semiHidden/>
    <w:rsid w:val="000F51FC"/>
    <w:rPr>
      <w:rFonts w:ascii="Aptos" w:eastAsia="MS Mincho" w:hAnsi="Aptos" w:cs="Arial"/>
      <w:b/>
      <w:bCs/>
      <w:sz w:val="20"/>
      <w:lang w:val="en-US" w:eastAsia="ja-JP"/>
    </w:rPr>
  </w:style>
  <w:style w:type="table" w:styleId="GridTable7Colorful-Accent6">
    <w:name w:val="Grid Table 7 Colorful Accent 6"/>
    <w:basedOn w:val="TableNormal"/>
    <w:locked/>
    <w:rsid w:val="000F51FC"/>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yperlink">
    <w:name w:val="Hyperlink"/>
    <w:basedOn w:val="DefaultParagraphFont"/>
    <w:semiHidden/>
    <w:locked/>
    <w:rsid w:val="000F51FC"/>
    <w:rPr>
      <w:color w:val="0563C1" w:themeColor="hyperlink"/>
      <w:u w:val="single"/>
    </w:rPr>
  </w:style>
  <w:style w:type="character" w:styleId="FollowedHyperlink">
    <w:name w:val="FollowedHyperlink"/>
    <w:basedOn w:val="DefaultParagraphFont"/>
    <w:semiHidden/>
    <w:locked/>
    <w:rsid w:val="000F51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511033">
      <w:bodyDiv w:val="1"/>
      <w:marLeft w:val="0"/>
      <w:marRight w:val="0"/>
      <w:marTop w:val="0"/>
      <w:marBottom w:val="0"/>
      <w:divBdr>
        <w:top w:val="none" w:sz="0" w:space="0" w:color="auto"/>
        <w:left w:val="none" w:sz="0" w:space="0" w:color="auto"/>
        <w:bottom w:val="none" w:sz="0" w:space="0" w:color="auto"/>
        <w:right w:val="none" w:sz="0" w:space="0" w:color="auto"/>
      </w:divBdr>
    </w:div>
    <w:div w:id="297079385">
      <w:bodyDiv w:val="1"/>
      <w:marLeft w:val="0"/>
      <w:marRight w:val="0"/>
      <w:marTop w:val="0"/>
      <w:marBottom w:val="0"/>
      <w:divBdr>
        <w:top w:val="none" w:sz="0" w:space="0" w:color="auto"/>
        <w:left w:val="none" w:sz="0" w:space="0" w:color="auto"/>
        <w:bottom w:val="none" w:sz="0" w:space="0" w:color="auto"/>
        <w:right w:val="none" w:sz="0" w:space="0" w:color="auto"/>
      </w:divBdr>
    </w:div>
    <w:div w:id="401418000">
      <w:bodyDiv w:val="1"/>
      <w:marLeft w:val="0"/>
      <w:marRight w:val="0"/>
      <w:marTop w:val="0"/>
      <w:marBottom w:val="0"/>
      <w:divBdr>
        <w:top w:val="none" w:sz="0" w:space="0" w:color="auto"/>
        <w:left w:val="none" w:sz="0" w:space="0" w:color="auto"/>
        <w:bottom w:val="none" w:sz="0" w:space="0" w:color="auto"/>
        <w:right w:val="none" w:sz="0" w:space="0" w:color="auto"/>
      </w:divBdr>
    </w:div>
    <w:div w:id="1890915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www.usoud.cz/fileadmin/user_upload/Tiskova_mluvci/Publikovane_nalezy/2025/Pl_%C3%9AS_19_25_n%C3%A1lez_odli%C5%A1n%C3%A9_stanovisko_AN.pdf" TargetMode="External"/><Relationship Id="rId39" Type="http://schemas.openxmlformats.org/officeDocument/2006/relationships/hyperlink" Target="https://rm.coe.int/grecorc5-2025-25-cze-sum-en/48802bfe17" TargetMode="External"/><Relationship Id="rId21" Type="http://schemas.openxmlformats.org/officeDocument/2006/relationships/footer" Target="footer3.xml"/><Relationship Id="rId34" Type="http://schemas.openxmlformats.org/officeDocument/2006/relationships/hyperlink" Target="https://www.ecpmf.eu/czechia-public-service-media-funding-warning/" TargetMode="External"/><Relationship Id="rId42" Type="http://schemas.openxmlformats.org/officeDocument/2006/relationships/hyperlink" Target="https://llp.cz/wp-content/uploads/ENG_Report.pdf" TargetMode="External"/><Relationship Id="rId47" Type="http://schemas.openxmlformats.org/officeDocument/2006/relationships/hyperlink" Target="https://www.transparency.cz/vlada-andreje-babise-navrhuje-novy-zakon-o-statnich-zamestnancich-ktery-ohrozi-nezavisly-vykon-statni-spravy/" TargetMode="External"/><Relationship Id="rId50" Type="http://schemas.openxmlformats.org/officeDocument/2006/relationships/hyperlink" Target="https://www.transparency.cz/ti-varuje-pred-moznym-znovuzvolenim-petra-mlsny-do-cela-uohs-a-pozaduje-transparentni-vyberove-rizeni/" TargetMode="External"/><Relationship Id="rId55" Type="http://schemas.openxmlformats.org/officeDocument/2006/relationships/hyperlink" Target="https://www.venice.coe.int/webforms/documents/default.aspx?pdffile=CDL-AD(2025)002-e" TargetMode="External"/><Relationship Id="rId63" Type="http://schemas.openxmlformats.org/officeDocument/2006/relationships/theme" Target="theme/theme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hudoc.esc.coe.int/" TargetMode="External"/><Relationship Id="rId41" Type="http://schemas.openxmlformats.org/officeDocument/2006/relationships/hyperlink" Target="https://rm.coe.int/grecorc4-2026-2-final-eng-add-to-the-2nd-compliance-report-czechia-pub/48802b8d82" TargetMode="External"/><Relationship Id="rId54" Type="http://schemas.openxmlformats.org/officeDocument/2006/relationships/hyperlink" Target="https://www.coe.int/en/web/venice-commission/-/cdl-ad-2013-038-e"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monitor.civicus.org/country/czech-republic/" TargetMode="External"/><Relationship Id="rId32" Type="http://schemas.openxmlformats.org/officeDocument/2006/relationships/hyperlink" Target="https://vlada.gov.cz/assets/vlada/programove-prohlaseni/programove-prohlaseni-vlady.pdf" TargetMode="External"/><Relationship Id="rId37" Type="http://schemas.openxmlformats.org/officeDocument/2006/relationships/hyperlink" Target="https://rm.coe.int/CoERMPublicCommonSearchServices/DisplayDCTMContent?documentId=09000016806c319b" TargetMode="External"/><Relationship Id="rId40" Type="http://schemas.openxmlformats.org/officeDocument/2006/relationships/hyperlink" Target="https://rm.coe.int/grecorc4-2024-18-final-eng-3rd-interim-czech-republic-pub/48802b8d66" TargetMode="External"/><Relationship Id="rId45" Type="http://schemas.openxmlformats.org/officeDocument/2006/relationships/hyperlink" Target="https://korupce.cz/wp-content/uploads/2026/04/Zhodnoceni-plneni-opatreni-uvedenych-v-Akcnim-planu-boje-proti-korupci-na-roky-2025-a-2026-za-rok-2025.pdf" TargetMode="External"/><Relationship Id="rId53" Type="http://schemas.openxmlformats.org/officeDocument/2006/relationships/hyperlink" Target="https://search.coe.int/cm?i=09000016805afb78" TargetMode="External"/><Relationship Id="rId58"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bezpecnazurnalistika.cz/" TargetMode="External"/><Relationship Id="rId28" Type="http://schemas.openxmlformats.org/officeDocument/2006/relationships/hyperlink" Target="https://rm.coe.int/2025-annual-report/48802b1633" TargetMode="External"/><Relationship Id="rId36" Type="http://schemas.openxmlformats.org/officeDocument/2006/relationships/hyperlink" Target="https://www.forum24.cz/tezko-muzeme-ocekavat-ze-se-jim-bude-babis-ridit-vzkazuje-transparency-international-ke-kodexu-vlady" TargetMode="External"/><Relationship Id="rId49" Type="http://schemas.openxmlformats.org/officeDocument/2006/relationships/hyperlink" Target="https://www.transparency.cz/predseda-uohs-mlsna-bude-mit-na-stole-klicove-rozhodnuti-o-projektu-metra-%20d-za-30-miliard-korun/" TargetMode="External"/><Relationship Id="rId57" Type="http://schemas.openxmlformats.org/officeDocument/2006/relationships/header" Target="header5.xml"/><Relationship Id="rId61" Type="http://schemas.openxmlformats.org/officeDocument/2006/relationships/footer" Target="footer6.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vlada.gov.cz/cz/media-centrum/dulezite-dokumenty/eticky-kodex-vlady-225554/" TargetMode="External"/><Relationship Id="rId44" Type="http://schemas.openxmlformats.org/officeDocument/2006/relationships/hyperlink" Target="https://www.seznamzpravy.cz/clanek/domaci-kauzy-ministerstvo-tutla-kdo-zarazil-dotazy-na-babisuv-stret-zajmu-303616" TargetMode="External"/><Relationship Id="rId52" Type="http://schemas.openxmlformats.org/officeDocument/2006/relationships/hyperlink" Target="https://www.soudci.cz/zpravy-a-stanoviska/pohledy-a-nazory/2130" TargetMode="External"/><Relationship Id="rId60"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www.psp.cz/sqw/text/orig2.sqw?idd=266772" TargetMode="External"/><Relationship Id="rId30" Type="http://schemas.openxmlformats.org/officeDocument/2006/relationships/hyperlink" Target="https://ct24.ceskatelevize.cz/clanek/domaci/jestli-babis-vyresil-stret-zajmu-musi-posoudit-odbornici-rekl-prezident-369610" TargetMode="External"/><Relationship Id="rId35" Type="http://schemas.openxmlformats.org/officeDocument/2006/relationships/hyperlink" Target="https://hudoc.echr.coe.int/eng" TargetMode="External"/><Relationship Id="rId43" Type="http://schemas.openxmlformats.org/officeDocument/2006/relationships/hyperlink" Target="https://www.mfrr.eu/monitor/" TargetMode="External"/><Relationship Id="rId48" Type="http://schemas.openxmlformats.org/officeDocument/2006/relationships/hyperlink" Target="https://www.transparency.cz/ministr-tejc-skrtl-program-prevence-korupce-ten-po-dvou-dekadach-zanika-a-s-nim-i-statem-podporovana-protikorupcni-pravni-pomoc/" TargetMode="External"/><Relationship Id="rId56" Type="http://schemas.openxmlformats.org/officeDocument/2006/relationships/header" Target="header4.xml"/><Relationship Id="rId8" Type="http://schemas.openxmlformats.org/officeDocument/2006/relationships/customXml" Target="../customXml/item8.xml"/><Relationship Id="rId51" Type="http://schemas.openxmlformats.org/officeDocument/2006/relationships/hyperlink" Target="https://www.transparency.cz/vlada-omezuje-protikorupcni-poradenstvi-ruku-v-ruce-s-prosazovanim-prokorupcni-legislativy/" TargetMode="Externa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www.usoud.cz/fileadmin/user_upload/Tiskova_mluvci/Publikovane_nalezy/2024/pl-5-24_AN_vc._disentu_3.pdf" TargetMode="External"/><Relationship Id="rId33" Type="http://schemas.openxmlformats.org/officeDocument/2006/relationships/hyperlink" Target="https://odok.gov.cz/portal/services/download/attachment/KORNDVHJ2CF1/" TargetMode="External"/><Relationship Id="rId38" Type="http://schemas.openxmlformats.org/officeDocument/2006/relationships/hyperlink" Target="https://rm.coe.int/fourth-evaluation-round-corruption-prevention-in-respect-of-members-of/1680ab9d3f" TargetMode="External"/><Relationship Id="rId46" Type="http://schemas.openxmlformats.org/officeDocument/2006/relationships/hyperlink" Target="https://www.transparency.cz/byvala-fialova-vlada-neudelala-potrebne-systemove-a-legislativni-zmeny-omezujici-korupci-v-cesku/" TargetMode="External"/><Relationship Id="rId59"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s://www.coe.int/en/web/execution/the-supervision-process"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3.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4.xml><?xml version="1.0" encoding="utf-8"?>
<ct:contentTypeSchema xmlns:ct="http://schemas.microsoft.com/office/2006/metadata/contentType" xmlns:ma="http://schemas.microsoft.com/office/2006/metadata/properties/metaAttributes" ct:_="" ma:_="" ma:contentTypeName="Dokument" ma:contentTypeID="0x010100CD92FCBF67B53A4EB1060DF04C43C986" ma:contentTypeVersion="3" ma:contentTypeDescription="Ein neues Dokument erstellen." ma:contentTypeScope="" ma:versionID="07716f95fc6075d044421444eb3b8a4c">
  <xsd:schema xmlns:xsd="http://www.w3.org/2001/XMLSchema" xmlns:xs="http://www.w3.org/2001/XMLSchema" xmlns:p="http://schemas.microsoft.com/office/2006/metadata/properties" xmlns:ns2="ffa05dec-e383-4a36-a526-3e8014669239" targetNamespace="http://schemas.microsoft.com/office/2006/metadata/properties" ma:root="true" ma:fieldsID="0d006ffd7e2ada4e5879ef3f2a12a0e9"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9BB7C-547C-4C15-B61E-BE0A69226E01}">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85DEDC53-A93E-4ADB-9EC2-F69334C80BD2}">
  <ds:schemaRefs/>
</ds:datastoreItem>
</file>

<file path=customXml/itemProps4.xml><?xml version="1.0" encoding="utf-8"?>
<ds:datastoreItem xmlns:ds="http://schemas.openxmlformats.org/officeDocument/2006/customXml" ds:itemID="{F25497EB-AF04-40FA-93FD-B29703599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707C5F29-AC77-42E2-A70B-2302BDDAE765}">
  <ds:schemaRefs>
    <ds:schemaRef ds:uri="http://schemas.microsoft.com/sharepoint/v3/contenttype/forms"/>
  </ds:schemaRefs>
</ds:datastoreItem>
</file>

<file path=customXml/itemProps7.xml><?xml version="1.0" encoding="utf-8"?>
<ds:datastoreItem xmlns:ds="http://schemas.openxmlformats.org/officeDocument/2006/customXml" ds:itemID="{C9E3C2D0-4A0A-4F7C-92A0-7AF5B42433AB}">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EB230A54-799A-4A01-9B83-DDD14975A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7972</Words>
  <Characters>45447</Characters>
  <Application>Microsoft Office Word</Application>
  <DocSecurity>0</DocSecurity>
  <PresentationFormat>Microsoft Word 14.0</PresentationFormat>
  <Lines>378</Lines>
  <Paragraphs>106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2026-07-15T09:58:00Z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2026-07-15T09:58:35Z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d536b322-289f-4d88-9b5d-3b8a5dae96e6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Part">
    <vt:lpwstr>1</vt:lpwstr>
  </property>
  <property fmtid="{D5CDD505-2E9C-101B-9397-08002B2CF9AE}" pid="11" name="Last edited using">
    <vt:lpwstr>LW 9.2, Build 20250828</vt:lpwstr>
  </property>
  <property fmtid="{D5CDD505-2E9C-101B-9397-08002B2CF9AE}" pid="12" name="MediaServiceImageTags">
    <vt:lpwstr/>
  </property>
  <property fmtid="{D5CDD505-2E9C-101B-9397-08002B2CF9AE}" pid="13" name="ContentTypeId">
    <vt:lpwstr>0x010100CD92FCBF67B53A4EB1060DF04C43C986</vt:lpwstr>
  </property>
  <property fmtid="{D5CDD505-2E9C-101B-9397-08002B2CF9AE}" pid="14" name="Created using">
    <vt:lpwstr>LW 7.0.1, Build 20200226</vt:lpwstr>
  </property>
  <property fmtid="{D5CDD505-2E9C-101B-9397-08002B2CF9AE}" pid="15" name="Total parts">
    <vt:lpwstr>1</vt:lpwstr>
  </property>
  <property fmtid="{D5CDD505-2E9C-101B-9397-08002B2CF9AE}" pid="16" name="DocStatus">
    <vt:lpwstr>Green</vt:lpwstr>
  </property>
  <property fmtid="{D5CDD505-2E9C-101B-9397-08002B2CF9AE}" pid="17" name="_LW_INVALIDATED__LW_INVALIDATED__LW_INVALIDATED__LW_INVALIDATED__LW_INVALIDATED__LW_INVALIDATED_ELDocType">
    <vt:lpwstr>not.dot</vt:lpwstr>
  </property>
  <property fmtid="{D5CDD505-2E9C-101B-9397-08002B2CF9AE}" pid="18" name="Level of sensitivity">
    <vt:lpwstr>Standard treatment</vt:lpwstr>
  </property>
  <property fmtid="{D5CDD505-2E9C-101B-9397-08002B2CF9AE}" pid="19" name="_LW_INVALIDATED__LW_INVALIDATED__LW_INVALIDATED__LW_INVALIDATED__LW_INVALIDATED__LW_INVALIDATED_EurolookVersion">
    <vt:lpwstr>10.0</vt:lpwstr>
  </property>
  <property fmtid="{D5CDD505-2E9C-101B-9397-08002B2CF9AE}" pid="20" name="CPTemplateID">
    <vt:lpwstr>CP-025</vt:lpwstr>
  </property>
</Properties>
</file>